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6DBD" w14:textId="77777777" w:rsidR="00A96139" w:rsidRDefault="00CB2E38" w:rsidP="00E5071E">
      <w:pPr>
        <w:ind w:left="900"/>
      </w:pPr>
      <w:bookmarkStart w:id="0" w:name="_GoBack"/>
      <w:bookmarkEnd w:id="0"/>
      <w:r>
        <w:rPr>
          <w:noProof/>
        </w:rPr>
        <mc:AlternateContent>
          <mc:Choice Requires="wps">
            <w:drawing>
              <wp:anchor distT="0" distB="0" distL="114300" distR="114300" simplePos="0" relativeHeight="251658240" behindDoc="0" locked="0" layoutInCell="1" allowOverlap="1" wp14:anchorId="48F3F510" wp14:editId="520D527C">
                <wp:simplePos x="0" y="0"/>
                <wp:positionH relativeFrom="column">
                  <wp:posOffset>3429000</wp:posOffset>
                </wp:positionH>
                <wp:positionV relativeFrom="paragraph">
                  <wp:posOffset>-478155</wp:posOffset>
                </wp:positionV>
                <wp:extent cx="3086100" cy="14097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9700"/>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3DA7B" w14:textId="77777777" w:rsidR="00E647EB" w:rsidRPr="00E5071E" w:rsidRDefault="000E7DC5" w:rsidP="00934A7D">
                            <w:pPr>
                              <w:jc w:val="both"/>
                              <w:rPr>
                                <w:b/>
                                <w:sz w:val="20"/>
                                <w:szCs w:val="20"/>
                              </w:rPr>
                            </w:pPr>
                            <w:r>
                              <w:rPr>
                                <w:b/>
                                <w:sz w:val="20"/>
                                <w:szCs w:val="20"/>
                              </w:rPr>
                              <w:t>avgivet den 10 december 2018</w:t>
                            </w:r>
                            <w:r w:rsidR="00D5157A">
                              <w:rPr>
                                <w:b/>
                                <w:sz w:val="20"/>
                                <w:szCs w:val="20"/>
                              </w:rPr>
                              <w:t xml:space="preserve"> i ärende 1058</w:t>
                            </w:r>
                            <w:r w:rsidR="00E647EB">
                              <w:rPr>
                                <w:b/>
                                <w:sz w:val="20"/>
                                <w:szCs w:val="20"/>
                              </w:rPr>
                              <w:t>/</w:t>
                            </w:r>
                            <w:r w:rsidR="004B3E43">
                              <w:rPr>
                                <w:b/>
                                <w:sz w:val="20"/>
                                <w:szCs w:val="20"/>
                              </w:rPr>
                              <w:t>18</w:t>
                            </w:r>
                            <w:r w:rsidR="00E647EB" w:rsidRPr="00E5071E">
                              <w:rPr>
                                <w:b/>
                                <w:sz w:val="20"/>
                                <w:szCs w:val="20"/>
                              </w:rPr>
                              <w:t xml:space="preserve"> rörande </w:t>
                            </w:r>
                            <w:r w:rsidR="00E647EB">
                              <w:rPr>
                                <w:b/>
                                <w:sz w:val="20"/>
                                <w:szCs w:val="20"/>
                              </w:rPr>
                              <w:t>överklagande av</w:t>
                            </w:r>
                            <w:r w:rsidR="00E647EB" w:rsidRPr="00E5071E">
                              <w:rPr>
                                <w:b/>
                                <w:sz w:val="20"/>
                                <w:szCs w:val="20"/>
                              </w:rPr>
                              <w:t xml:space="preserve"> </w:t>
                            </w:r>
                            <w:proofErr w:type="spellStart"/>
                            <w:r w:rsidR="00734C0F">
                              <w:rPr>
                                <w:b/>
                                <w:sz w:val="20"/>
                                <w:szCs w:val="20"/>
                              </w:rPr>
                              <w:t>IGN</w:t>
                            </w:r>
                            <w:r w:rsidR="0021644E">
                              <w:rPr>
                                <w:b/>
                                <w:sz w:val="20"/>
                                <w:szCs w:val="20"/>
                              </w:rPr>
                              <w:t>:s</w:t>
                            </w:r>
                            <w:proofErr w:type="spellEnd"/>
                            <w:r w:rsidR="00E647EB">
                              <w:rPr>
                                <w:b/>
                                <w:sz w:val="20"/>
                                <w:szCs w:val="20"/>
                              </w:rPr>
                              <w:t xml:space="preserve"> be</w:t>
                            </w:r>
                            <w:r w:rsidR="00E647EB">
                              <w:rPr>
                                <w:b/>
                                <w:sz w:val="20"/>
                                <w:szCs w:val="20"/>
                              </w:rPr>
                              <w:softHyphen/>
                              <w:t xml:space="preserve">slut </w:t>
                            </w:r>
                            <w:r w:rsidR="00734C0F">
                              <w:rPr>
                                <w:b/>
                                <w:sz w:val="20"/>
                                <w:szCs w:val="20"/>
                              </w:rPr>
                              <w:t>IGN-</w:t>
                            </w:r>
                            <w:r w:rsidR="00D5157A">
                              <w:rPr>
                                <w:b/>
                                <w:sz w:val="20"/>
                                <w:szCs w:val="20"/>
                              </w:rPr>
                              <w:t>093</w:t>
                            </w:r>
                            <w:r w:rsidR="00E647EB" w:rsidRPr="00E5071E">
                              <w:rPr>
                                <w:b/>
                                <w:sz w:val="20"/>
                                <w:szCs w:val="20"/>
                              </w:rPr>
                              <w:t xml:space="preserve"> angående</w:t>
                            </w:r>
                            <w:r w:rsidR="00B40C9F">
                              <w:rPr>
                                <w:b/>
                                <w:sz w:val="20"/>
                                <w:szCs w:val="20"/>
                              </w:rPr>
                              <w:t xml:space="preserve"> </w:t>
                            </w:r>
                            <w:r w:rsidR="00537710">
                              <w:rPr>
                                <w:b/>
                                <w:sz w:val="20"/>
                                <w:szCs w:val="20"/>
                              </w:rPr>
                              <w:t xml:space="preserve">publicering </w:t>
                            </w:r>
                            <w:r w:rsidR="005F2988">
                              <w:rPr>
                                <w:b/>
                                <w:sz w:val="20"/>
                                <w:szCs w:val="20"/>
                              </w:rPr>
                              <w:t xml:space="preserve">på LinkedIn-konto </w:t>
                            </w:r>
                            <w:r w:rsidR="00537710">
                              <w:rPr>
                                <w:b/>
                                <w:sz w:val="20"/>
                                <w:szCs w:val="20"/>
                              </w:rPr>
                              <w:t xml:space="preserve">med </w:t>
                            </w:r>
                            <w:r w:rsidR="00D5157A">
                              <w:rPr>
                                <w:b/>
                                <w:sz w:val="20"/>
                                <w:szCs w:val="20"/>
                              </w:rPr>
                              <w:t xml:space="preserve">länk </w:t>
                            </w:r>
                            <w:r w:rsidR="00537710">
                              <w:rPr>
                                <w:b/>
                                <w:sz w:val="20"/>
                                <w:szCs w:val="20"/>
                              </w:rPr>
                              <w:t xml:space="preserve">till pressmeddelande </w:t>
                            </w:r>
                            <w:r w:rsidR="00D5157A">
                              <w:rPr>
                                <w:b/>
                                <w:sz w:val="20"/>
                                <w:szCs w:val="20"/>
                              </w:rPr>
                              <w:t xml:space="preserve">utgörande påstådd </w:t>
                            </w:r>
                            <w:r w:rsidR="00B40C9F">
                              <w:rPr>
                                <w:b/>
                                <w:sz w:val="20"/>
                                <w:szCs w:val="20"/>
                              </w:rPr>
                              <w:t>marknadsföring av</w:t>
                            </w:r>
                            <w:r w:rsidR="00E647EB" w:rsidRPr="00E5071E">
                              <w:rPr>
                                <w:b/>
                                <w:sz w:val="20"/>
                                <w:szCs w:val="20"/>
                              </w:rPr>
                              <w:t xml:space="preserve"> </w:t>
                            </w:r>
                            <w:proofErr w:type="spellStart"/>
                            <w:r w:rsidR="00D5157A">
                              <w:rPr>
                                <w:b/>
                                <w:sz w:val="20"/>
                                <w:szCs w:val="20"/>
                              </w:rPr>
                              <w:t>Aimovig</w:t>
                            </w:r>
                            <w:proofErr w:type="spellEnd"/>
                            <w:r w:rsidR="00AD1CDC" w:rsidRPr="005E0E03">
                              <w:rPr>
                                <w:b/>
                                <w:sz w:val="20"/>
                                <w:szCs w:val="20"/>
                                <w:vertAlign w:val="superscript"/>
                              </w:rPr>
                              <w:t>®</w:t>
                            </w:r>
                            <w:r w:rsidR="00D5157A">
                              <w:rPr>
                                <w:b/>
                                <w:sz w:val="20"/>
                                <w:szCs w:val="20"/>
                              </w:rPr>
                              <w:t xml:space="preserve"> i strid med </w:t>
                            </w:r>
                            <w:r w:rsidR="002C01F6">
                              <w:rPr>
                                <w:b/>
                                <w:sz w:val="20"/>
                                <w:szCs w:val="20"/>
                              </w:rPr>
                              <w:t xml:space="preserve">artikel </w:t>
                            </w:r>
                            <w:r w:rsidR="00D5157A">
                              <w:rPr>
                                <w:b/>
                                <w:sz w:val="20"/>
                                <w:szCs w:val="20"/>
                              </w:rPr>
                              <w:t>102</w:t>
                            </w:r>
                            <w:r w:rsidR="00BA649B">
                              <w:rPr>
                                <w:b/>
                                <w:sz w:val="20"/>
                                <w:szCs w:val="20"/>
                              </w:rPr>
                              <w:t xml:space="preserve"> i avdelning </w:t>
                            </w:r>
                            <w:r w:rsidR="00D5157A">
                              <w:rPr>
                                <w:b/>
                                <w:sz w:val="20"/>
                                <w:szCs w:val="20"/>
                              </w:rPr>
                              <w:t>2</w:t>
                            </w:r>
                            <w:r w:rsidR="00BA649B">
                              <w:rPr>
                                <w:b/>
                                <w:sz w:val="20"/>
                                <w:szCs w:val="20"/>
                              </w:rPr>
                              <w:t xml:space="preserve">, </w:t>
                            </w:r>
                            <w:r w:rsidR="00B40C9F">
                              <w:rPr>
                                <w:b/>
                                <w:sz w:val="20"/>
                                <w:szCs w:val="20"/>
                              </w:rPr>
                              <w:t xml:space="preserve">kapitel </w:t>
                            </w:r>
                            <w:r w:rsidR="00D5157A">
                              <w:rPr>
                                <w:b/>
                                <w:sz w:val="20"/>
                                <w:szCs w:val="20"/>
                              </w:rPr>
                              <w:t>1</w:t>
                            </w:r>
                            <w:r w:rsidR="00BA649B">
                              <w:rPr>
                                <w:b/>
                                <w:sz w:val="20"/>
                                <w:szCs w:val="20"/>
                              </w:rPr>
                              <w:t xml:space="preserve"> </w:t>
                            </w:r>
                            <w:r w:rsidR="002C01F6">
                              <w:rPr>
                                <w:b/>
                                <w:sz w:val="20"/>
                                <w:szCs w:val="20"/>
                              </w:rPr>
                              <w:t>i Läkemedelsbranschens etiska regelverk</w:t>
                            </w:r>
                            <w:r w:rsidR="00E647EB">
                              <w:rPr>
                                <w:b/>
                                <w:sz w:val="20"/>
                                <w:szCs w:val="20"/>
                              </w:rPr>
                              <w:t xml:space="preserve"> </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3F510" id="_x0000_t202" coordsize="21600,21600" o:spt="202" path="m,l,21600r21600,l21600,xe">
                <v:stroke joinstyle="miter"/>
                <v:path gradientshapeok="t" o:connecttype="rect"/>
              </v:shapetype>
              <v:shape id="Text Box 16" o:spid="_x0000_s1026" type="#_x0000_t202" style="position:absolute;left:0;text-align:left;margin-left:270pt;margin-top:-37.65pt;width:243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" filled="f" fillcolor="gray" stroked="f">
                <v:textbox inset="0,0,0">
                  <w:txbxContent>
                    <w:p w14:paraId="4A53DA7B" w14:textId="77777777" w:rsidR="00E647EB" w:rsidRPr="00E5071E" w:rsidRDefault="000E7DC5" w:rsidP="00934A7D">
                      <w:pPr>
                        <w:jc w:val="both"/>
                        <w:rPr>
                          <w:b/>
                          <w:sz w:val="20"/>
                          <w:szCs w:val="20"/>
                        </w:rPr>
                      </w:pPr>
                      <w:r>
                        <w:rPr>
                          <w:b/>
                          <w:sz w:val="20"/>
                          <w:szCs w:val="20"/>
                        </w:rPr>
                        <w:t>avgivet den 10 december 2018</w:t>
                      </w:r>
                      <w:r w:rsidR="00D5157A">
                        <w:rPr>
                          <w:b/>
                          <w:sz w:val="20"/>
                          <w:szCs w:val="20"/>
                        </w:rPr>
                        <w:t xml:space="preserve"> i ärende 1058</w:t>
                      </w:r>
                      <w:r w:rsidR="00E647EB">
                        <w:rPr>
                          <w:b/>
                          <w:sz w:val="20"/>
                          <w:szCs w:val="20"/>
                        </w:rPr>
                        <w:t>/</w:t>
                      </w:r>
                      <w:r w:rsidR="004B3E43">
                        <w:rPr>
                          <w:b/>
                          <w:sz w:val="20"/>
                          <w:szCs w:val="20"/>
                        </w:rPr>
                        <w:t>18</w:t>
                      </w:r>
                      <w:r w:rsidR="00E647EB" w:rsidRPr="00E5071E">
                        <w:rPr>
                          <w:b/>
                          <w:sz w:val="20"/>
                          <w:szCs w:val="20"/>
                        </w:rPr>
                        <w:t xml:space="preserve"> rörande </w:t>
                      </w:r>
                      <w:r w:rsidR="00E647EB">
                        <w:rPr>
                          <w:b/>
                          <w:sz w:val="20"/>
                          <w:szCs w:val="20"/>
                        </w:rPr>
                        <w:t>överklagande av</w:t>
                      </w:r>
                      <w:r w:rsidR="00E647EB" w:rsidRPr="00E5071E">
                        <w:rPr>
                          <w:b/>
                          <w:sz w:val="20"/>
                          <w:szCs w:val="20"/>
                        </w:rPr>
                        <w:t xml:space="preserve"> </w:t>
                      </w:r>
                      <w:proofErr w:type="spellStart"/>
                      <w:r w:rsidR="00734C0F">
                        <w:rPr>
                          <w:b/>
                          <w:sz w:val="20"/>
                          <w:szCs w:val="20"/>
                        </w:rPr>
                        <w:t>IGN</w:t>
                      </w:r>
                      <w:r w:rsidR="0021644E">
                        <w:rPr>
                          <w:b/>
                          <w:sz w:val="20"/>
                          <w:szCs w:val="20"/>
                        </w:rPr>
                        <w:t>:s</w:t>
                      </w:r>
                      <w:proofErr w:type="spellEnd"/>
                      <w:r w:rsidR="00E647EB">
                        <w:rPr>
                          <w:b/>
                          <w:sz w:val="20"/>
                          <w:szCs w:val="20"/>
                        </w:rPr>
                        <w:t xml:space="preserve"> be</w:t>
                      </w:r>
                      <w:r w:rsidR="00E647EB">
                        <w:rPr>
                          <w:b/>
                          <w:sz w:val="20"/>
                          <w:szCs w:val="20"/>
                        </w:rPr>
                        <w:softHyphen/>
                        <w:t xml:space="preserve">slut </w:t>
                      </w:r>
                      <w:r w:rsidR="00734C0F">
                        <w:rPr>
                          <w:b/>
                          <w:sz w:val="20"/>
                          <w:szCs w:val="20"/>
                        </w:rPr>
                        <w:t>IGN-</w:t>
                      </w:r>
                      <w:r w:rsidR="00D5157A">
                        <w:rPr>
                          <w:b/>
                          <w:sz w:val="20"/>
                          <w:szCs w:val="20"/>
                        </w:rPr>
                        <w:t>093</w:t>
                      </w:r>
                      <w:r w:rsidR="00E647EB" w:rsidRPr="00E5071E">
                        <w:rPr>
                          <w:b/>
                          <w:sz w:val="20"/>
                          <w:szCs w:val="20"/>
                        </w:rPr>
                        <w:t xml:space="preserve"> angående</w:t>
                      </w:r>
                      <w:r w:rsidR="00B40C9F">
                        <w:rPr>
                          <w:b/>
                          <w:sz w:val="20"/>
                          <w:szCs w:val="20"/>
                        </w:rPr>
                        <w:t xml:space="preserve"> </w:t>
                      </w:r>
                      <w:r w:rsidR="00537710">
                        <w:rPr>
                          <w:b/>
                          <w:sz w:val="20"/>
                          <w:szCs w:val="20"/>
                        </w:rPr>
                        <w:t xml:space="preserve">publicering </w:t>
                      </w:r>
                      <w:r w:rsidR="005F2988">
                        <w:rPr>
                          <w:b/>
                          <w:sz w:val="20"/>
                          <w:szCs w:val="20"/>
                        </w:rPr>
                        <w:t xml:space="preserve">på LinkedIn-konto </w:t>
                      </w:r>
                      <w:r w:rsidR="00537710">
                        <w:rPr>
                          <w:b/>
                          <w:sz w:val="20"/>
                          <w:szCs w:val="20"/>
                        </w:rPr>
                        <w:t xml:space="preserve">med </w:t>
                      </w:r>
                      <w:r w:rsidR="00D5157A">
                        <w:rPr>
                          <w:b/>
                          <w:sz w:val="20"/>
                          <w:szCs w:val="20"/>
                        </w:rPr>
                        <w:t xml:space="preserve">länk </w:t>
                      </w:r>
                      <w:r w:rsidR="00537710">
                        <w:rPr>
                          <w:b/>
                          <w:sz w:val="20"/>
                          <w:szCs w:val="20"/>
                        </w:rPr>
                        <w:t xml:space="preserve">till pressmeddelande </w:t>
                      </w:r>
                      <w:r w:rsidR="00D5157A">
                        <w:rPr>
                          <w:b/>
                          <w:sz w:val="20"/>
                          <w:szCs w:val="20"/>
                        </w:rPr>
                        <w:t xml:space="preserve">utgörande påstådd </w:t>
                      </w:r>
                      <w:r w:rsidR="00B40C9F">
                        <w:rPr>
                          <w:b/>
                          <w:sz w:val="20"/>
                          <w:szCs w:val="20"/>
                        </w:rPr>
                        <w:t>marknadsföring av</w:t>
                      </w:r>
                      <w:r w:rsidR="00E647EB" w:rsidRPr="00E5071E">
                        <w:rPr>
                          <w:b/>
                          <w:sz w:val="20"/>
                          <w:szCs w:val="20"/>
                        </w:rPr>
                        <w:t xml:space="preserve"> </w:t>
                      </w:r>
                      <w:proofErr w:type="spellStart"/>
                      <w:r w:rsidR="00D5157A">
                        <w:rPr>
                          <w:b/>
                          <w:sz w:val="20"/>
                          <w:szCs w:val="20"/>
                        </w:rPr>
                        <w:t>Aimovig</w:t>
                      </w:r>
                      <w:proofErr w:type="spellEnd"/>
                      <w:r w:rsidR="00AD1CDC" w:rsidRPr="005E0E03">
                        <w:rPr>
                          <w:b/>
                          <w:sz w:val="20"/>
                          <w:szCs w:val="20"/>
                          <w:vertAlign w:val="superscript"/>
                        </w:rPr>
                        <w:t>®</w:t>
                      </w:r>
                      <w:r w:rsidR="00D5157A">
                        <w:rPr>
                          <w:b/>
                          <w:sz w:val="20"/>
                          <w:szCs w:val="20"/>
                        </w:rPr>
                        <w:t xml:space="preserve"> i strid med </w:t>
                      </w:r>
                      <w:r w:rsidR="002C01F6">
                        <w:rPr>
                          <w:b/>
                          <w:sz w:val="20"/>
                          <w:szCs w:val="20"/>
                        </w:rPr>
                        <w:t xml:space="preserve">artikel </w:t>
                      </w:r>
                      <w:r w:rsidR="00D5157A">
                        <w:rPr>
                          <w:b/>
                          <w:sz w:val="20"/>
                          <w:szCs w:val="20"/>
                        </w:rPr>
                        <w:t>102</w:t>
                      </w:r>
                      <w:r w:rsidR="00BA649B">
                        <w:rPr>
                          <w:b/>
                          <w:sz w:val="20"/>
                          <w:szCs w:val="20"/>
                        </w:rPr>
                        <w:t xml:space="preserve"> i avdelning </w:t>
                      </w:r>
                      <w:r w:rsidR="00D5157A">
                        <w:rPr>
                          <w:b/>
                          <w:sz w:val="20"/>
                          <w:szCs w:val="20"/>
                        </w:rPr>
                        <w:t>2</w:t>
                      </w:r>
                      <w:r w:rsidR="00BA649B">
                        <w:rPr>
                          <w:b/>
                          <w:sz w:val="20"/>
                          <w:szCs w:val="20"/>
                        </w:rPr>
                        <w:t xml:space="preserve">, </w:t>
                      </w:r>
                      <w:r w:rsidR="00B40C9F">
                        <w:rPr>
                          <w:b/>
                          <w:sz w:val="20"/>
                          <w:szCs w:val="20"/>
                        </w:rPr>
                        <w:t xml:space="preserve">kapitel </w:t>
                      </w:r>
                      <w:r w:rsidR="00D5157A">
                        <w:rPr>
                          <w:b/>
                          <w:sz w:val="20"/>
                          <w:szCs w:val="20"/>
                        </w:rPr>
                        <w:t>1</w:t>
                      </w:r>
                      <w:r w:rsidR="00BA649B">
                        <w:rPr>
                          <w:b/>
                          <w:sz w:val="20"/>
                          <w:szCs w:val="20"/>
                        </w:rPr>
                        <w:t xml:space="preserve"> </w:t>
                      </w:r>
                      <w:r w:rsidR="002C01F6">
                        <w:rPr>
                          <w:b/>
                          <w:sz w:val="20"/>
                          <w:szCs w:val="20"/>
                        </w:rPr>
                        <w:t>i Läkemedelsbranschens etiska regelverk</w:t>
                      </w:r>
                      <w:r w:rsidR="00E647EB">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225090" wp14:editId="13798546">
                <wp:simplePos x="0" y="0"/>
                <wp:positionH relativeFrom="column">
                  <wp:posOffset>3429000</wp:posOffset>
                </wp:positionH>
                <wp:positionV relativeFrom="paragraph">
                  <wp:posOffset>-771525</wp:posOffset>
                </wp:positionV>
                <wp:extent cx="3086100" cy="25209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2095"/>
                        </a:xfrm>
                        <a:prstGeom prst="rect">
                          <a:avLst/>
                        </a:prstGeom>
                        <a:solidFill>
                          <a:srgbClr val="777777"/>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9AF90" w14:textId="77777777" w:rsidR="00E647EB" w:rsidRPr="00F703A3" w:rsidRDefault="00E647EB">
                            <w:pPr>
                              <w:rPr>
                                <w:smallCaps/>
                                <w:color w:val="FFFFFF"/>
                                <w:sz w:val="36"/>
                                <w:szCs w:val="36"/>
                              </w:rPr>
                            </w:pPr>
                            <w:r w:rsidRPr="00F703A3">
                              <w:rPr>
                                <w:smallCaps/>
                                <w:color w:val="FFFFFF"/>
                                <w:sz w:val="36"/>
                                <w:szCs w:val="36"/>
                              </w:rPr>
                              <w:t>YTTRANDE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5090" id="Text Box 10" o:spid="_x0000_s1027" type="#_x0000_t202" style="position:absolute;left:0;text-align:left;margin-left:270pt;margin-top:-60.75pt;width:243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" fillcolor="#777" stroked="f">
                <v:textbox inset="0,0">
                  <w:txbxContent>
                    <w:p w14:paraId="04B9AF90" w14:textId="77777777" w:rsidR="00E647EB" w:rsidRPr="00F703A3" w:rsidRDefault="00E647EB">
                      <w:pPr>
                        <w:rPr>
                          <w:smallCaps/>
                          <w:color w:val="FFFFFF"/>
                          <w:sz w:val="36"/>
                          <w:szCs w:val="36"/>
                        </w:rPr>
                      </w:pPr>
                      <w:r w:rsidRPr="00F703A3">
                        <w:rPr>
                          <w:smallCaps/>
                          <w:color w:val="FFFFFF"/>
                          <w:sz w:val="36"/>
                          <w:szCs w:val="36"/>
                        </w:rPr>
                        <w:t>YTTRANDE</w:t>
                      </w:r>
                    </w:p>
                  </w:txbxContent>
                </v:textbox>
              </v:shape>
            </w:pict>
          </mc:Fallback>
        </mc:AlternateContent>
      </w:r>
    </w:p>
    <w:p w14:paraId="06C0BE4F" w14:textId="77777777" w:rsidR="005A04B9" w:rsidRDefault="005A04B9" w:rsidP="00E5071E">
      <w:pPr>
        <w:ind w:left="900"/>
      </w:pPr>
    </w:p>
    <w:p w14:paraId="2B519D97" w14:textId="77777777" w:rsidR="005A04B9" w:rsidRDefault="000C7D06" w:rsidP="00E5071E">
      <w:pPr>
        <w:ind w:left="900"/>
      </w:pPr>
      <w:r>
        <w:tab/>
      </w:r>
      <w:r>
        <w:tab/>
      </w:r>
      <w:r>
        <w:tab/>
      </w:r>
      <w:r>
        <w:tab/>
      </w:r>
    </w:p>
    <w:p w14:paraId="751768DE" w14:textId="77777777" w:rsidR="000C7D06" w:rsidRDefault="000C7D06" w:rsidP="00E5071E">
      <w:pPr>
        <w:ind w:left="900"/>
      </w:pPr>
    </w:p>
    <w:p w14:paraId="1E1F03A3" w14:textId="77777777" w:rsidR="000C7D06" w:rsidRDefault="000C7D06" w:rsidP="00E5071E">
      <w:pPr>
        <w:ind w:left="900"/>
      </w:pPr>
    </w:p>
    <w:p w14:paraId="26DB48C7" w14:textId="77777777" w:rsidR="000C7D06" w:rsidRDefault="000C7D06" w:rsidP="00E5071E">
      <w:pPr>
        <w:ind w:left="900"/>
      </w:pPr>
    </w:p>
    <w:p w14:paraId="4583B57C" w14:textId="77777777" w:rsidR="000C7D06" w:rsidRDefault="000C7D06" w:rsidP="00E5071E">
      <w:pPr>
        <w:ind w:left="900"/>
      </w:pPr>
    </w:p>
    <w:p w14:paraId="68D642EA" w14:textId="77777777" w:rsidR="000C7D06" w:rsidRPr="00E907BF" w:rsidRDefault="00E5071E" w:rsidP="00757AA1">
      <w:pPr>
        <w:ind w:left="902"/>
        <w:jc w:val="both"/>
        <w:rPr>
          <w:b/>
          <w:sz w:val="28"/>
          <w:szCs w:val="28"/>
        </w:rPr>
      </w:pPr>
      <w:r w:rsidRPr="00E907BF">
        <w:rPr>
          <w:b/>
          <w:sz w:val="28"/>
          <w:szCs w:val="28"/>
        </w:rPr>
        <w:t>Klagande</w:t>
      </w:r>
    </w:p>
    <w:p w14:paraId="7ED20849" w14:textId="77777777" w:rsidR="000C7D06" w:rsidRPr="00E907BF" w:rsidRDefault="000C7D06" w:rsidP="00757AA1">
      <w:pPr>
        <w:ind w:left="902"/>
        <w:jc w:val="both"/>
      </w:pPr>
    </w:p>
    <w:p w14:paraId="5A94CD55" w14:textId="77777777" w:rsidR="000C7D06" w:rsidRPr="001E09AD" w:rsidRDefault="00F231C6" w:rsidP="000C1B85">
      <w:pPr>
        <w:ind w:left="902"/>
        <w:jc w:val="both"/>
      </w:pPr>
      <w:r>
        <w:t>Novartis Sverige AB, Täby</w:t>
      </w:r>
    </w:p>
    <w:p w14:paraId="1996169D" w14:textId="77777777" w:rsidR="000C7D06" w:rsidRPr="001E09AD" w:rsidRDefault="000C7D06" w:rsidP="00757AA1">
      <w:pPr>
        <w:ind w:left="902"/>
        <w:jc w:val="both"/>
      </w:pPr>
    </w:p>
    <w:p w14:paraId="2DEE4B9E" w14:textId="77777777" w:rsidR="00757AA1" w:rsidRPr="001E09AD" w:rsidRDefault="00757AA1" w:rsidP="00757AA1">
      <w:pPr>
        <w:ind w:left="902"/>
        <w:jc w:val="both"/>
        <w:rPr>
          <w:b/>
          <w:sz w:val="28"/>
          <w:szCs w:val="28"/>
        </w:rPr>
      </w:pPr>
    </w:p>
    <w:p w14:paraId="29D7CA49" w14:textId="77777777" w:rsidR="000C7D06" w:rsidRPr="001E09AD" w:rsidRDefault="00757AA1" w:rsidP="00757AA1">
      <w:pPr>
        <w:ind w:left="902"/>
        <w:jc w:val="both"/>
        <w:rPr>
          <w:b/>
          <w:sz w:val="28"/>
          <w:szCs w:val="28"/>
        </w:rPr>
      </w:pPr>
      <w:r w:rsidRPr="001E09AD">
        <w:rPr>
          <w:b/>
          <w:sz w:val="28"/>
          <w:szCs w:val="28"/>
        </w:rPr>
        <w:t>M</w:t>
      </w:r>
      <w:r w:rsidR="00E5071E" w:rsidRPr="001E09AD">
        <w:rPr>
          <w:b/>
          <w:sz w:val="28"/>
          <w:szCs w:val="28"/>
        </w:rPr>
        <w:t>otpart</w:t>
      </w:r>
    </w:p>
    <w:p w14:paraId="56781CD9" w14:textId="77777777" w:rsidR="000C7D06" w:rsidRPr="001E09AD" w:rsidRDefault="000C7D06" w:rsidP="00757AA1">
      <w:pPr>
        <w:ind w:left="902"/>
        <w:jc w:val="both"/>
      </w:pPr>
    </w:p>
    <w:p w14:paraId="58F791DD" w14:textId="77777777" w:rsidR="000C7D06" w:rsidRPr="00307EAE" w:rsidRDefault="00AF53E8" w:rsidP="00757AA1">
      <w:pPr>
        <w:ind w:left="902"/>
        <w:jc w:val="both"/>
      </w:pPr>
      <w:r w:rsidRPr="00307EAE">
        <w:t>IG</w:t>
      </w:r>
      <w:r w:rsidR="00734C0F" w:rsidRPr="00307EAE">
        <w:t>N</w:t>
      </w:r>
    </w:p>
    <w:p w14:paraId="2CA3ADBE" w14:textId="77777777" w:rsidR="000C7D06" w:rsidRPr="00307EAE" w:rsidRDefault="000C7D06" w:rsidP="00757AA1">
      <w:pPr>
        <w:ind w:left="902"/>
        <w:jc w:val="both"/>
      </w:pPr>
    </w:p>
    <w:p w14:paraId="1E4D1F6D" w14:textId="77777777" w:rsidR="00757AA1" w:rsidRPr="00307EAE" w:rsidRDefault="00757AA1" w:rsidP="00757AA1">
      <w:pPr>
        <w:ind w:left="902"/>
        <w:jc w:val="both"/>
        <w:rPr>
          <w:b/>
          <w:sz w:val="28"/>
          <w:szCs w:val="28"/>
        </w:rPr>
      </w:pPr>
    </w:p>
    <w:p w14:paraId="0FBB646E" w14:textId="77777777" w:rsidR="000C7D06" w:rsidRPr="00E5071E" w:rsidRDefault="000C7D06" w:rsidP="00757AA1">
      <w:pPr>
        <w:ind w:left="902"/>
        <w:jc w:val="both"/>
        <w:rPr>
          <w:b/>
          <w:sz w:val="28"/>
          <w:szCs w:val="28"/>
        </w:rPr>
      </w:pPr>
      <w:r w:rsidRPr="00E5071E">
        <w:rPr>
          <w:b/>
          <w:sz w:val="28"/>
          <w:szCs w:val="28"/>
        </w:rPr>
        <w:t>Bakgrund</w:t>
      </w:r>
    </w:p>
    <w:p w14:paraId="23087C8C" w14:textId="77777777" w:rsidR="000C7D06" w:rsidRDefault="000C7D06" w:rsidP="00757AA1">
      <w:pPr>
        <w:ind w:left="902"/>
        <w:jc w:val="both"/>
      </w:pPr>
    </w:p>
    <w:p w14:paraId="179EBD43" w14:textId="77777777" w:rsidR="00E5071E" w:rsidRDefault="00F231C6" w:rsidP="000954BE">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Novartis Sverige AB</w:t>
      </w:r>
      <w:r w:rsidR="00E5071E">
        <w:rPr>
          <w:rFonts w:ascii="Times New Roman" w:hAnsi="Times New Roman"/>
          <w:lang w:val="sv-SE"/>
        </w:rPr>
        <w:t xml:space="preserve"> </w:t>
      </w:r>
      <w:r>
        <w:rPr>
          <w:rFonts w:ascii="Times New Roman" w:hAnsi="Times New Roman"/>
          <w:lang w:val="sv-SE"/>
        </w:rPr>
        <w:t xml:space="preserve">har marknadsföringstillstånd </w:t>
      </w:r>
      <w:r w:rsidR="00E5071E">
        <w:rPr>
          <w:rFonts w:ascii="Times New Roman" w:hAnsi="Times New Roman"/>
          <w:lang w:val="sv-SE"/>
        </w:rPr>
        <w:t xml:space="preserve">för </w:t>
      </w:r>
      <w:proofErr w:type="spellStart"/>
      <w:r>
        <w:rPr>
          <w:rFonts w:ascii="Times New Roman" w:hAnsi="Times New Roman"/>
          <w:lang w:val="sv-SE"/>
        </w:rPr>
        <w:t>Aimovig</w:t>
      </w:r>
      <w:proofErr w:type="spellEnd"/>
      <w:r w:rsidR="00AD1CDC" w:rsidRPr="00F103F2">
        <w:rPr>
          <w:rFonts w:ascii="Times New Roman" w:hAnsi="Times New Roman"/>
          <w:vertAlign w:val="superscript"/>
          <w:lang w:val="sv-SE"/>
        </w:rPr>
        <w:t>®</w:t>
      </w:r>
      <w:r w:rsidR="00AD1CDC">
        <w:rPr>
          <w:rFonts w:ascii="Times New Roman" w:hAnsi="Times New Roman"/>
          <w:lang w:val="sv-SE"/>
        </w:rPr>
        <w:t xml:space="preserve"> </w:t>
      </w:r>
      <w:r>
        <w:rPr>
          <w:rFonts w:ascii="Times New Roman" w:hAnsi="Times New Roman"/>
          <w:lang w:val="sv-SE"/>
        </w:rPr>
        <w:t xml:space="preserve">70 mg injektionsvätska, lösning i förfylld injektionspenna. </w:t>
      </w:r>
      <w:proofErr w:type="spellStart"/>
      <w:r>
        <w:rPr>
          <w:rFonts w:ascii="Times New Roman" w:hAnsi="Times New Roman"/>
          <w:lang w:val="sv-SE"/>
        </w:rPr>
        <w:t>Aimovig</w:t>
      </w:r>
      <w:proofErr w:type="spellEnd"/>
      <w:r w:rsidR="0060167E">
        <w:rPr>
          <w:rFonts w:ascii="Times New Roman" w:hAnsi="Times New Roman"/>
          <w:lang w:val="sv-SE"/>
        </w:rPr>
        <w:t xml:space="preserve"> har </w:t>
      </w:r>
      <w:proofErr w:type="spellStart"/>
      <w:r w:rsidR="0060167E">
        <w:rPr>
          <w:rFonts w:ascii="Times New Roman" w:hAnsi="Times New Roman"/>
          <w:lang w:val="sv-SE"/>
        </w:rPr>
        <w:t>erenumab</w:t>
      </w:r>
      <w:proofErr w:type="spellEnd"/>
      <w:r w:rsidR="0060167E">
        <w:rPr>
          <w:rFonts w:ascii="Times New Roman" w:hAnsi="Times New Roman"/>
          <w:lang w:val="sv-SE"/>
        </w:rPr>
        <w:t xml:space="preserve"> som</w:t>
      </w:r>
      <w:r w:rsidR="009A61E2">
        <w:rPr>
          <w:rFonts w:ascii="Times New Roman" w:hAnsi="Times New Roman"/>
          <w:lang w:val="sv-SE"/>
        </w:rPr>
        <w:t xml:space="preserve"> aktiv substans och är indicerat</w:t>
      </w:r>
      <w:r w:rsidR="00C31DC9">
        <w:rPr>
          <w:rFonts w:ascii="Times New Roman" w:hAnsi="Times New Roman"/>
          <w:lang w:val="sv-SE"/>
        </w:rPr>
        <w:t xml:space="preserve"> </w:t>
      </w:r>
      <w:r>
        <w:rPr>
          <w:rFonts w:ascii="Times New Roman" w:hAnsi="Times New Roman"/>
          <w:lang w:val="sv-SE"/>
        </w:rPr>
        <w:t xml:space="preserve">för migränprofylax hos vuxna som har minst fyra migrändagar per månad. </w:t>
      </w:r>
    </w:p>
    <w:p w14:paraId="3FCF61DF" w14:textId="77777777" w:rsidR="00F231C6" w:rsidRDefault="00F231C6" w:rsidP="000954BE">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11EA7A23" w14:textId="77777777" w:rsidR="00F231C6" w:rsidRDefault="00206BB7" w:rsidP="000954BE">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 xml:space="preserve">Den </w:t>
      </w:r>
      <w:r w:rsidR="00FF4518">
        <w:rPr>
          <w:rFonts w:ascii="Times New Roman" w:hAnsi="Times New Roman"/>
          <w:lang w:val="sv-SE"/>
        </w:rPr>
        <w:t>7 augusti 2018 inkom till IGN en anonym anmälan mot Novartis</w:t>
      </w:r>
      <w:r w:rsidR="000C1B85">
        <w:rPr>
          <w:rFonts w:ascii="Times New Roman" w:hAnsi="Times New Roman"/>
          <w:lang w:val="sv-SE"/>
        </w:rPr>
        <w:t>.</w:t>
      </w:r>
      <w:r w:rsidR="00BE522C">
        <w:rPr>
          <w:rFonts w:ascii="Times New Roman" w:hAnsi="Times New Roman"/>
          <w:lang w:val="sv-SE"/>
        </w:rPr>
        <w:t xml:space="preserve"> Anmälan gällde</w:t>
      </w:r>
      <w:r w:rsidR="009A61E2">
        <w:rPr>
          <w:rFonts w:ascii="Times New Roman" w:hAnsi="Times New Roman"/>
          <w:lang w:val="sv-SE"/>
        </w:rPr>
        <w:t xml:space="preserve"> publicering av ett inlägg</w:t>
      </w:r>
      <w:r w:rsidR="00AF33CF">
        <w:rPr>
          <w:rFonts w:ascii="Times New Roman" w:hAnsi="Times New Roman"/>
          <w:lang w:val="sv-SE"/>
        </w:rPr>
        <w:t xml:space="preserve"> på ett privat LinkedI</w:t>
      </w:r>
      <w:r w:rsidR="00FF4518">
        <w:rPr>
          <w:rFonts w:ascii="Times New Roman" w:hAnsi="Times New Roman"/>
          <w:lang w:val="sv-SE"/>
        </w:rPr>
        <w:t>n-konto</w:t>
      </w:r>
      <w:r w:rsidR="000C1B85">
        <w:rPr>
          <w:rFonts w:ascii="Times New Roman" w:hAnsi="Times New Roman"/>
          <w:lang w:val="sv-SE"/>
        </w:rPr>
        <w:t xml:space="preserve">, som tillhörde </w:t>
      </w:r>
      <w:r w:rsidR="00FF4518">
        <w:rPr>
          <w:rFonts w:ascii="Times New Roman" w:hAnsi="Times New Roman"/>
          <w:lang w:val="sv-SE"/>
        </w:rPr>
        <w:t xml:space="preserve">en </w:t>
      </w:r>
      <w:r w:rsidR="00C31DC9">
        <w:rPr>
          <w:rFonts w:ascii="Times New Roman" w:hAnsi="Times New Roman"/>
          <w:lang w:val="sv-SE"/>
        </w:rPr>
        <w:t xml:space="preserve">person som är anställd </w:t>
      </w:r>
      <w:r w:rsidR="00FF4518">
        <w:rPr>
          <w:rFonts w:ascii="Times New Roman" w:hAnsi="Times New Roman"/>
          <w:lang w:val="sv-SE"/>
        </w:rPr>
        <w:t>på Novartis</w:t>
      </w:r>
      <w:r w:rsidR="00D97A5C">
        <w:rPr>
          <w:rFonts w:ascii="Times New Roman" w:hAnsi="Times New Roman"/>
          <w:lang w:val="sv-SE"/>
        </w:rPr>
        <w:t xml:space="preserve">. </w:t>
      </w:r>
      <w:r w:rsidR="000C1B85">
        <w:rPr>
          <w:rFonts w:ascii="Times New Roman" w:hAnsi="Times New Roman"/>
          <w:lang w:val="sv-SE"/>
        </w:rPr>
        <w:t xml:space="preserve">Publiceringen </w:t>
      </w:r>
      <w:r w:rsidR="00FF4518">
        <w:rPr>
          <w:rFonts w:ascii="Times New Roman" w:hAnsi="Times New Roman"/>
          <w:lang w:val="sv-SE"/>
        </w:rPr>
        <w:t xml:space="preserve">hade följande </w:t>
      </w:r>
      <w:r>
        <w:rPr>
          <w:rFonts w:ascii="Times New Roman" w:hAnsi="Times New Roman"/>
          <w:lang w:val="sv-SE"/>
        </w:rPr>
        <w:t>text:</w:t>
      </w:r>
    </w:p>
    <w:p w14:paraId="6B5C472F" w14:textId="77777777" w:rsidR="00206BB7" w:rsidRDefault="00206BB7" w:rsidP="000954BE">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4E23D84D" w14:textId="77777777" w:rsidR="00206BB7" w:rsidRPr="005F2988" w:rsidRDefault="00206BB7" w:rsidP="005F2988">
      <w:pPr>
        <w:pStyle w:val="Instll"/>
        <w:tabs>
          <w:tab w:val="clear" w:pos="-720"/>
          <w:tab w:val="left" w:pos="0"/>
          <w:tab w:val="left" w:pos="398"/>
          <w:tab w:val="left" w:pos="795"/>
          <w:tab w:val="left" w:pos="4310"/>
          <w:tab w:val="left" w:pos="9922"/>
          <w:tab w:val="left" w:pos="10436"/>
        </w:tabs>
        <w:suppressAutoHyphens w:val="0"/>
        <w:ind w:left="1304"/>
        <w:rPr>
          <w:rFonts w:ascii="Times New Roman" w:hAnsi="Times New Roman"/>
          <w:sz w:val="22"/>
          <w:szCs w:val="22"/>
          <w:lang w:val="sv-SE"/>
        </w:rPr>
      </w:pPr>
      <w:r w:rsidRPr="00307EAE">
        <w:rPr>
          <w:rFonts w:ascii="Times New Roman" w:hAnsi="Times New Roman"/>
          <w:sz w:val="22"/>
          <w:szCs w:val="22"/>
          <w:lang w:val="sv-SE"/>
        </w:rPr>
        <w:t>"</w:t>
      </w:r>
      <w:r w:rsidRPr="005F2988">
        <w:rPr>
          <w:rFonts w:ascii="Times New Roman" w:hAnsi="Times New Roman"/>
          <w:sz w:val="22"/>
          <w:szCs w:val="22"/>
          <w:lang w:val="sv-SE"/>
        </w:rPr>
        <w:t xml:space="preserve">Novartis just </w:t>
      </w:r>
      <w:proofErr w:type="spellStart"/>
      <w:r w:rsidRPr="005F2988">
        <w:rPr>
          <w:rFonts w:ascii="Times New Roman" w:hAnsi="Times New Roman"/>
          <w:sz w:val="22"/>
          <w:szCs w:val="22"/>
          <w:lang w:val="sv-SE"/>
        </w:rPr>
        <w:t>recieved</w:t>
      </w:r>
      <w:proofErr w:type="spellEnd"/>
      <w:r w:rsidRPr="005F2988">
        <w:rPr>
          <w:rFonts w:ascii="Times New Roman" w:hAnsi="Times New Roman"/>
          <w:sz w:val="22"/>
          <w:szCs w:val="22"/>
          <w:lang w:val="sv-SE"/>
        </w:rPr>
        <w:t xml:space="preserve"> EU </w:t>
      </w:r>
      <w:proofErr w:type="spellStart"/>
      <w:r w:rsidRPr="005F2988">
        <w:rPr>
          <w:rFonts w:ascii="Times New Roman" w:hAnsi="Times New Roman"/>
          <w:sz w:val="22"/>
          <w:szCs w:val="22"/>
          <w:lang w:val="sv-SE"/>
        </w:rPr>
        <w:t>approval</w:t>
      </w:r>
      <w:proofErr w:type="spellEnd"/>
      <w:r w:rsidRPr="005F2988">
        <w:rPr>
          <w:rFonts w:ascii="Times New Roman" w:hAnsi="Times New Roman"/>
          <w:sz w:val="22"/>
          <w:szCs w:val="22"/>
          <w:lang w:val="sv-SE"/>
        </w:rPr>
        <w:t xml:space="preserve"> for a new </w:t>
      </w:r>
      <w:proofErr w:type="spellStart"/>
      <w:r w:rsidRPr="005F2988">
        <w:rPr>
          <w:rFonts w:ascii="Times New Roman" w:hAnsi="Times New Roman"/>
          <w:sz w:val="22"/>
          <w:szCs w:val="22"/>
          <w:lang w:val="sv-SE"/>
        </w:rPr>
        <w:t>migraine</w:t>
      </w:r>
      <w:proofErr w:type="spellEnd"/>
      <w:r w:rsidRPr="005F2988">
        <w:rPr>
          <w:rFonts w:ascii="Times New Roman" w:hAnsi="Times New Roman"/>
          <w:sz w:val="22"/>
          <w:szCs w:val="22"/>
          <w:lang w:val="sv-SE"/>
        </w:rPr>
        <w:t xml:space="preserve"> </w:t>
      </w:r>
      <w:proofErr w:type="spellStart"/>
      <w:r w:rsidRPr="005F2988">
        <w:rPr>
          <w:rFonts w:ascii="Times New Roman" w:hAnsi="Times New Roman"/>
          <w:sz w:val="22"/>
          <w:szCs w:val="22"/>
          <w:lang w:val="sv-SE"/>
        </w:rPr>
        <w:t>treatment</w:t>
      </w:r>
      <w:proofErr w:type="spellEnd"/>
      <w:r w:rsidRPr="005F2988">
        <w:rPr>
          <w:rFonts w:ascii="Times New Roman" w:hAnsi="Times New Roman"/>
          <w:sz w:val="22"/>
          <w:szCs w:val="22"/>
          <w:lang w:val="sv-SE"/>
        </w:rPr>
        <w:t xml:space="preserve">!" </w:t>
      </w:r>
    </w:p>
    <w:p w14:paraId="502DD01F" w14:textId="77777777" w:rsidR="00206BB7" w:rsidRPr="00D37110" w:rsidRDefault="00206BB7" w:rsidP="000954BE">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0896206A" w14:textId="77777777" w:rsidR="00D37110" w:rsidRDefault="00AD1CDC" w:rsidP="00D37110">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 xml:space="preserve">I inlägget </w:t>
      </w:r>
      <w:r w:rsidR="00C31DC9">
        <w:rPr>
          <w:rFonts w:ascii="Times New Roman" w:hAnsi="Times New Roman"/>
          <w:lang w:val="sv-SE"/>
        </w:rPr>
        <w:t xml:space="preserve">fanns en länk </w:t>
      </w:r>
      <w:r w:rsidR="00AD6415">
        <w:rPr>
          <w:rFonts w:ascii="Times New Roman" w:hAnsi="Times New Roman"/>
          <w:lang w:val="sv-SE"/>
        </w:rPr>
        <w:t>till</w:t>
      </w:r>
      <w:r w:rsidR="00FF4518">
        <w:rPr>
          <w:rFonts w:ascii="Times New Roman" w:hAnsi="Times New Roman"/>
          <w:lang w:val="sv-SE"/>
        </w:rPr>
        <w:t xml:space="preserve"> </w:t>
      </w:r>
      <w:r w:rsidR="00206BB7" w:rsidRPr="00206BB7">
        <w:rPr>
          <w:rFonts w:ascii="Times New Roman" w:hAnsi="Times New Roman"/>
          <w:lang w:val="sv-SE"/>
        </w:rPr>
        <w:t>ett pressmeddelande från Novart</w:t>
      </w:r>
      <w:r w:rsidR="00CC697F">
        <w:rPr>
          <w:rFonts w:ascii="Times New Roman" w:hAnsi="Times New Roman"/>
          <w:lang w:val="sv-SE"/>
        </w:rPr>
        <w:t>i</w:t>
      </w:r>
      <w:r w:rsidR="00206BB7" w:rsidRPr="00206BB7">
        <w:rPr>
          <w:rFonts w:ascii="Times New Roman" w:hAnsi="Times New Roman"/>
          <w:lang w:val="sv-SE"/>
        </w:rPr>
        <w:t>s</w:t>
      </w:r>
      <w:r>
        <w:rPr>
          <w:rFonts w:ascii="Times New Roman" w:hAnsi="Times New Roman"/>
          <w:lang w:val="sv-SE"/>
        </w:rPr>
        <w:t xml:space="preserve"> International AG</w:t>
      </w:r>
      <w:r w:rsidR="00206BB7" w:rsidRPr="00206BB7">
        <w:rPr>
          <w:rFonts w:ascii="Times New Roman" w:hAnsi="Times New Roman"/>
          <w:lang w:val="sv-SE"/>
        </w:rPr>
        <w:t xml:space="preserve">. </w:t>
      </w:r>
      <w:r w:rsidR="00206BB7">
        <w:rPr>
          <w:rFonts w:ascii="Times New Roman" w:hAnsi="Times New Roman"/>
          <w:lang w:val="sv-SE"/>
        </w:rPr>
        <w:t>I pressmeddelandet</w:t>
      </w:r>
      <w:r>
        <w:rPr>
          <w:rFonts w:ascii="Times New Roman" w:hAnsi="Times New Roman"/>
          <w:lang w:val="sv-SE"/>
        </w:rPr>
        <w:t xml:space="preserve"> </w:t>
      </w:r>
      <w:r w:rsidR="00C31DC9">
        <w:rPr>
          <w:rFonts w:ascii="Times New Roman" w:hAnsi="Times New Roman"/>
          <w:lang w:val="sv-SE"/>
        </w:rPr>
        <w:t xml:space="preserve">som var avfattat </w:t>
      </w:r>
      <w:r>
        <w:rPr>
          <w:rFonts w:ascii="Times New Roman" w:hAnsi="Times New Roman"/>
          <w:lang w:val="sv-SE"/>
        </w:rPr>
        <w:t xml:space="preserve">på engelska </w:t>
      </w:r>
      <w:r w:rsidR="00C31DC9">
        <w:rPr>
          <w:rFonts w:ascii="Times New Roman" w:hAnsi="Times New Roman"/>
          <w:lang w:val="sv-SE"/>
        </w:rPr>
        <w:t xml:space="preserve">angavs </w:t>
      </w:r>
      <w:r>
        <w:rPr>
          <w:rFonts w:ascii="Times New Roman" w:hAnsi="Times New Roman"/>
          <w:lang w:val="sv-SE"/>
        </w:rPr>
        <w:t xml:space="preserve">att Novartis </w:t>
      </w:r>
      <w:r w:rsidR="00D37110" w:rsidRPr="00D37110">
        <w:rPr>
          <w:rFonts w:ascii="Times New Roman" w:hAnsi="Times New Roman"/>
          <w:lang w:val="sv-SE"/>
        </w:rPr>
        <w:t>markerar en ny era för migränpatienter med EU-godkännande</w:t>
      </w:r>
      <w:r>
        <w:rPr>
          <w:rFonts w:ascii="Times New Roman" w:hAnsi="Times New Roman"/>
          <w:lang w:val="sv-SE"/>
        </w:rPr>
        <w:t>t</w:t>
      </w:r>
      <w:r w:rsidR="00D37110" w:rsidRPr="00D37110">
        <w:rPr>
          <w:rFonts w:ascii="Times New Roman" w:hAnsi="Times New Roman"/>
          <w:lang w:val="sv-SE"/>
        </w:rPr>
        <w:t xml:space="preserve"> av </w:t>
      </w:r>
      <w:proofErr w:type="spellStart"/>
      <w:r>
        <w:rPr>
          <w:rFonts w:ascii="Times New Roman" w:hAnsi="Times New Roman"/>
          <w:lang w:val="sv-SE"/>
        </w:rPr>
        <w:t>Aimovig</w:t>
      </w:r>
      <w:proofErr w:type="spellEnd"/>
      <w:r w:rsidRPr="00F103F2">
        <w:rPr>
          <w:rFonts w:ascii="Times New Roman" w:hAnsi="Times New Roman"/>
          <w:vertAlign w:val="superscript"/>
          <w:lang w:val="sv-SE"/>
        </w:rPr>
        <w:t>®</w:t>
      </w:r>
      <w:r w:rsidR="00D37110" w:rsidRPr="00D37110">
        <w:rPr>
          <w:rFonts w:ascii="Times New Roman" w:hAnsi="Times New Roman"/>
          <w:lang w:val="sv-SE"/>
        </w:rPr>
        <w:t>, en förstklassig behandling speciellt utformad för förebyggande av migrän.</w:t>
      </w:r>
      <w:r>
        <w:rPr>
          <w:rFonts w:ascii="Times New Roman" w:hAnsi="Times New Roman"/>
          <w:lang w:val="sv-SE"/>
        </w:rPr>
        <w:t xml:space="preserve"> En </w:t>
      </w:r>
      <w:proofErr w:type="spellStart"/>
      <w:r>
        <w:rPr>
          <w:rFonts w:ascii="Times New Roman" w:hAnsi="Times New Roman"/>
          <w:lang w:val="sv-SE"/>
        </w:rPr>
        <w:t>skärmdu</w:t>
      </w:r>
      <w:r w:rsidR="00AF33CF">
        <w:rPr>
          <w:rFonts w:ascii="Times New Roman" w:hAnsi="Times New Roman"/>
          <w:lang w:val="sv-SE"/>
        </w:rPr>
        <w:t>mp</w:t>
      </w:r>
      <w:proofErr w:type="spellEnd"/>
      <w:r w:rsidR="00AF33CF">
        <w:rPr>
          <w:rFonts w:ascii="Times New Roman" w:hAnsi="Times New Roman"/>
          <w:lang w:val="sv-SE"/>
        </w:rPr>
        <w:t xml:space="preserve"> från LinkedI</w:t>
      </w:r>
      <w:r>
        <w:rPr>
          <w:rFonts w:ascii="Times New Roman" w:hAnsi="Times New Roman"/>
          <w:lang w:val="sv-SE"/>
        </w:rPr>
        <w:t>n-</w:t>
      </w:r>
      <w:r w:rsidR="00D97A5C">
        <w:rPr>
          <w:rFonts w:ascii="Times New Roman" w:hAnsi="Times New Roman"/>
          <w:lang w:val="sv-SE"/>
        </w:rPr>
        <w:t>publiceringen</w:t>
      </w:r>
      <w:r>
        <w:rPr>
          <w:rFonts w:ascii="Times New Roman" w:hAnsi="Times New Roman"/>
          <w:lang w:val="sv-SE"/>
        </w:rPr>
        <w:t xml:space="preserve"> samt pressmeddelandet bifogas som </w:t>
      </w:r>
      <w:r>
        <w:rPr>
          <w:rFonts w:ascii="Times New Roman" w:hAnsi="Times New Roman"/>
          <w:u w:val="single"/>
          <w:lang w:val="sv-SE"/>
        </w:rPr>
        <w:t>Bilaga 1</w:t>
      </w:r>
      <w:r w:rsidR="000C1B85">
        <w:rPr>
          <w:rFonts w:ascii="Times New Roman" w:hAnsi="Times New Roman"/>
          <w:u w:val="single"/>
          <w:lang w:val="sv-SE"/>
        </w:rPr>
        <w:t>–</w:t>
      </w:r>
      <w:r>
        <w:rPr>
          <w:rFonts w:ascii="Times New Roman" w:hAnsi="Times New Roman"/>
          <w:u w:val="single"/>
          <w:lang w:val="sv-SE"/>
        </w:rPr>
        <w:t>2</w:t>
      </w:r>
      <w:r>
        <w:rPr>
          <w:rFonts w:ascii="Times New Roman" w:hAnsi="Times New Roman"/>
          <w:lang w:val="sv-SE"/>
        </w:rPr>
        <w:t>.</w:t>
      </w:r>
    </w:p>
    <w:p w14:paraId="02662C3F" w14:textId="77777777" w:rsidR="00AD1CDC" w:rsidRDefault="00AD1CDC" w:rsidP="00D37110">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24BC2708" w14:textId="77777777" w:rsidR="00C31DC9" w:rsidRDefault="00AE3734" w:rsidP="00AD1CDC">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Anmälaren g</w:t>
      </w:r>
      <w:r w:rsidR="00E5071E">
        <w:rPr>
          <w:rFonts w:ascii="Times New Roman" w:hAnsi="Times New Roman"/>
          <w:lang w:val="sv-SE"/>
        </w:rPr>
        <w:t xml:space="preserve">jorde gällande att </w:t>
      </w:r>
      <w:r w:rsidR="00AF33CF">
        <w:rPr>
          <w:rFonts w:ascii="Times New Roman" w:hAnsi="Times New Roman"/>
          <w:lang w:val="sv-SE"/>
        </w:rPr>
        <w:t>publiceringen på LinkedI</w:t>
      </w:r>
      <w:r>
        <w:rPr>
          <w:rFonts w:ascii="Times New Roman" w:hAnsi="Times New Roman"/>
          <w:lang w:val="sv-SE"/>
        </w:rPr>
        <w:t>n</w:t>
      </w:r>
      <w:r w:rsidR="00D97A5C">
        <w:rPr>
          <w:rFonts w:ascii="Times New Roman" w:hAnsi="Times New Roman"/>
          <w:lang w:val="sv-SE"/>
        </w:rPr>
        <w:t xml:space="preserve"> med länk</w:t>
      </w:r>
      <w:r w:rsidR="00C31DC9">
        <w:rPr>
          <w:rFonts w:ascii="Times New Roman" w:hAnsi="Times New Roman"/>
          <w:lang w:val="sv-SE"/>
        </w:rPr>
        <w:t>en</w:t>
      </w:r>
      <w:r w:rsidR="009A61E2">
        <w:rPr>
          <w:rFonts w:ascii="Times New Roman" w:hAnsi="Times New Roman"/>
          <w:lang w:val="sv-SE"/>
        </w:rPr>
        <w:t xml:space="preserve"> till</w:t>
      </w:r>
      <w:r w:rsidR="00D97A5C">
        <w:rPr>
          <w:rFonts w:ascii="Times New Roman" w:hAnsi="Times New Roman"/>
          <w:lang w:val="sv-SE"/>
        </w:rPr>
        <w:t xml:space="preserve"> pressmeddelandet </w:t>
      </w:r>
      <w:r w:rsidR="00366AA3">
        <w:rPr>
          <w:rFonts w:ascii="Times New Roman" w:hAnsi="Times New Roman"/>
          <w:lang w:val="sv-SE"/>
        </w:rPr>
        <w:t>utgjorde marknadsföring av ej godk</w:t>
      </w:r>
      <w:r w:rsidR="00D97A5C">
        <w:rPr>
          <w:rFonts w:ascii="Times New Roman" w:hAnsi="Times New Roman"/>
          <w:lang w:val="sv-SE"/>
        </w:rPr>
        <w:t xml:space="preserve">änt receptbelagt läkemedel gentemot </w:t>
      </w:r>
      <w:r w:rsidR="00366AA3">
        <w:rPr>
          <w:rFonts w:ascii="Times New Roman" w:hAnsi="Times New Roman"/>
          <w:lang w:val="sv-SE"/>
        </w:rPr>
        <w:t>allmänheten, i strid</w:t>
      </w:r>
      <w:r w:rsidR="00D97A5C">
        <w:rPr>
          <w:rFonts w:ascii="Times New Roman" w:hAnsi="Times New Roman"/>
          <w:lang w:val="sv-SE"/>
        </w:rPr>
        <w:t xml:space="preserve"> m</w:t>
      </w:r>
      <w:r w:rsidR="00CC697F">
        <w:rPr>
          <w:rFonts w:ascii="Times New Roman" w:hAnsi="Times New Roman"/>
          <w:lang w:val="sv-SE"/>
        </w:rPr>
        <w:t>ed</w:t>
      </w:r>
      <w:r w:rsidR="005F2988">
        <w:rPr>
          <w:rFonts w:ascii="Times New Roman" w:hAnsi="Times New Roman"/>
          <w:lang w:val="sv-SE"/>
        </w:rPr>
        <w:t xml:space="preserve"> </w:t>
      </w:r>
      <w:r w:rsidR="002B2497">
        <w:rPr>
          <w:rFonts w:ascii="Times New Roman" w:hAnsi="Times New Roman"/>
          <w:lang w:val="sv-SE"/>
        </w:rPr>
        <w:t>Läkemedelsbranschens etiska regelverk</w:t>
      </w:r>
      <w:r w:rsidR="00C0014A">
        <w:rPr>
          <w:rFonts w:ascii="Times New Roman" w:hAnsi="Times New Roman"/>
          <w:lang w:val="sv-SE"/>
        </w:rPr>
        <w:t xml:space="preserve"> (LER)</w:t>
      </w:r>
      <w:r>
        <w:rPr>
          <w:rFonts w:ascii="Times New Roman" w:hAnsi="Times New Roman"/>
          <w:lang w:val="sv-SE"/>
        </w:rPr>
        <w:t>.</w:t>
      </w:r>
      <w:r w:rsidR="00E5071E">
        <w:rPr>
          <w:rFonts w:ascii="Times New Roman" w:hAnsi="Times New Roman"/>
          <w:lang w:val="sv-SE"/>
        </w:rPr>
        <w:t xml:space="preserve"> </w:t>
      </w:r>
    </w:p>
    <w:p w14:paraId="613235F3" w14:textId="77777777" w:rsidR="00C31DC9" w:rsidRDefault="00C31DC9" w:rsidP="00AD1CDC">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5E4C862A" w14:textId="77777777" w:rsidR="000954BE" w:rsidRDefault="00E5071E" w:rsidP="00AD1CDC">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IG</w:t>
      </w:r>
      <w:r w:rsidR="00734C0F">
        <w:rPr>
          <w:rFonts w:ascii="Times New Roman" w:hAnsi="Times New Roman"/>
          <w:lang w:val="sv-SE"/>
        </w:rPr>
        <w:t>N</w:t>
      </w:r>
      <w:r>
        <w:rPr>
          <w:rFonts w:ascii="Times New Roman" w:hAnsi="Times New Roman"/>
          <w:lang w:val="sv-SE"/>
        </w:rPr>
        <w:t xml:space="preserve"> </w:t>
      </w:r>
      <w:r w:rsidR="00AE3734">
        <w:rPr>
          <w:rFonts w:ascii="Times New Roman" w:hAnsi="Times New Roman"/>
          <w:lang w:val="sv-SE"/>
        </w:rPr>
        <w:t xml:space="preserve">fann </w:t>
      </w:r>
      <w:r>
        <w:rPr>
          <w:rFonts w:ascii="Times New Roman" w:hAnsi="Times New Roman"/>
          <w:lang w:val="sv-SE"/>
        </w:rPr>
        <w:t xml:space="preserve">i beslut den </w:t>
      </w:r>
      <w:r w:rsidR="00366AA3">
        <w:rPr>
          <w:rFonts w:ascii="Times New Roman" w:hAnsi="Times New Roman"/>
          <w:lang w:val="sv-SE"/>
        </w:rPr>
        <w:t>17 september 2</w:t>
      </w:r>
      <w:r w:rsidR="00AF33CF">
        <w:rPr>
          <w:rFonts w:ascii="Times New Roman" w:hAnsi="Times New Roman"/>
          <w:lang w:val="sv-SE"/>
        </w:rPr>
        <w:t>018 att publiceringen på LinkedI</w:t>
      </w:r>
      <w:r w:rsidR="00366AA3">
        <w:rPr>
          <w:rFonts w:ascii="Times New Roman" w:hAnsi="Times New Roman"/>
          <w:lang w:val="sv-SE"/>
        </w:rPr>
        <w:t xml:space="preserve">n </w:t>
      </w:r>
      <w:r w:rsidR="006F5BC8">
        <w:rPr>
          <w:rFonts w:ascii="Times New Roman" w:hAnsi="Times New Roman"/>
          <w:lang w:val="sv-SE"/>
        </w:rPr>
        <w:t xml:space="preserve">som </w:t>
      </w:r>
      <w:r w:rsidR="00366AA3">
        <w:rPr>
          <w:rFonts w:ascii="Times New Roman" w:hAnsi="Times New Roman"/>
          <w:lang w:val="sv-SE"/>
        </w:rPr>
        <w:t>inne</w:t>
      </w:r>
      <w:r w:rsidR="006F5BC8">
        <w:rPr>
          <w:rFonts w:ascii="Times New Roman" w:hAnsi="Times New Roman"/>
          <w:lang w:val="sv-SE"/>
        </w:rPr>
        <w:t>fattade</w:t>
      </w:r>
      <w:r w:rsidR="00C31DC9">
        <w:rPr>
          <w:rFonts w:ascii="Times New Roman" w:hAnsi="Times New Roman"/>
          <w:lang w:val="sv-SE"/>
        </w:rPr>
        <w:t xml:space="preserve"> </w:t>
      </w:r>
      <w:r w:rsidR="00366AA3">
        <w:rPr>
          <w:rFonts w:ascii="Times New Roman" w:hAnsi="Times New Roman"/>
          <w:lang w:val="sv-SE"/>
        </w:rPr>
        <w:t>pressmeddelande</w:t>
      </w:r>
      <w:r w:rsidR="006F5BC8">
        <w:rPr>
          <w:rFonts w:ascii="Times New Roman" w:hAnsi="Times New Roman"/>
          <w:lang w:val="sv-SE"/>
        </w:rPr>
        <w:t>t</w:t>
      </w:r>
      <w:r w:rsidR="00366AA3">
        <w:rPr>
          <w:rFonts w:ascii="Times New Roman" w:hAnsi="Times New Roman"/>
          <w:lang w:val="sv-SE"/>
        </w:rPr>
        <w:t xml:space="preserve"> utgjorde marknadsföring av receptbelagt läkemedel gentemot allmänheten, i strid mot </w:t>
      </w:r>
      <w:r w:rsidR="006F5BC8">
        <w:rPr>
          <w:rFonts w:ascii="Times New Roman" w:hAnsi="Times New Roman"/>
          <w:lang w:val="sv-SE"/>
        </w:rPr>
        <w:t>artikel 102, avdelning 2, kapitel 1 i L</w:t>
      </w:r>
      <w:r w:rsidR="00C0014A">
        <w:rPr>
          <w:rFonts w:ascii="Times New Roman" w:hAnsi="Times New Roman"/>
          <w:lang w:val="sv-SE"/>
        </w:rPr>
        <w:t>ER</w:t>
      </w:r>
      <w:r w:rsidR="00366AA3">
        <w:rPr>
          <w:rFonts w:ascii="Times New Roman" w:hAnsi="Times New Roman"/>
          <w:lang w:val="sv-SE"/>
        </w:rPr>
        <w:t xml:space="preserve">. </w:t>
      </w:r>
      <w:proofErr w:type="spellStart"/>
      <w:r w:rsidR="0021644E">
        <w:rPr>
          <w:rFonts w:ascii="Times New Roman" w:hAnsi="Times New Roman"/>
          <w:lang w:val="sv-SE"/>
        </w:rPr>
        <w:t>IG</w:t>
      </w:r>
      <w:r w:rsidR="00734C0F">
        <w:rPr>
          <w:rFonts w:ascii="Times New Roman" w:hAnsi="Times New Roman"/>
          <w:lang w:val="sv-SE"/>
        </w:rPr>
        <w:t>N</w:t>
      </w:r>
      <w:r w:rsidR="0021644E">
        <w:rPr>
          <w:rFonts w:ascii="Times New Roman" w:hAnsi="Times New Roman"/>
          <w:lang w:val="sv-SE"/>
        </w:rPr>
        <w:t>:s</w:t>
      </w:r>
      <w:proofErr w:type="spellEnd"/>
      <w:r>
        <w:rPr>
          <w:rFonts w:ascii="Times New Roman" w:hAnsi="Times New Roman"/>
          <w:lang w:val="sv-SE"/>
        </w:rPr>
        <w:t xml:space="preserve"> beslut </w:t>
      </w:r>
      <w:r w:rsidR="00734C0F">
        <w:rPr>
          <w:rFonts w:ascii="Times New Roman" w:hAnsi="Times New Roman"/>
          <w:lang w:val="sv-SE"/>
        </w:rPr>
        <w:t>IGN-</w:t>
      </w:r>
      <w:r w:rsidR="00366AA3">
        <w:rPr>
          <w:rFonts w:ascii="Times New Roman" w:hAnsi="Times New Roman"/>
          <w:lang w:val="sv-SE"/>
        </w:rPr>
        <w:t>093</w:t>
      </w:r>
      <w:r w:rsidR="00F03D89">
        <w:rPr>
          <w:rFonts w:ascii="Times New Roman" w:hAnsi="Times New Roman"/>
          <w:lang w:val="sv-SE"/>
        </w:rPr>
        <w:t xml:space="preserve"> </w:t>
      </w:r>
      <w:r>
        <w:rPr>
          <w:rFonts w:ascii="Times New Roman" w:hAnsi="Times New Roman"/>
          <w:lang w:val="sv-SE"/>
        </w:rPr>
        <w:t xml:space="preserve">bifogas som </w:t>
      </w:r>
      <w:r w:rsidR="00F03D89" w:rsidRPr="00F03D89">
        <w:rPr>
          <w:rFonts w:ascii="Times New Roman" w:hAnsi="Times New Roman"/>
          <w:u w:val="single"/>
          <w:lang w:val="sv-SE"/>
        </w:rPr>
        <w:t xml:space="preserve">Bilaga </w:t>
      </w:r>
      <w:r w:rsidR="00366AA3">
        <w:rPr>
          <w:rFonts w:ascii="Times New Roman" w:hAnsi="Times New Roman"/>
          <w:u w:val="single"/>
          <w:lang w:val="sv-SE"/>
        </w:rPr>
        <w:t>3</w:t>
      </w:r>
      <w:r>
        <w:rPr>
          <w:rFonts w:ascii="Times New Roman" w:hAnsi="Times New Roman"/>
          <w:lang w:val="sv-SE"/>
        </w:rPr>
        <w:t xml:space="preserve">. </w:t>
      </w:r>
    </w:p>
    <w:p w14:paraId="38C3DFC3" w14:textId="77777777" w:rsidR="000954BE" w:rsidRDefault="000954BE" w:rsidP="00757AA1">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4D6C01E6" w14:textId="77777777" w:rsidR="00E5071E" w:rsidRDefault="00366AA3" w:rsidP="00757AA1">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Novartis</w:t>
      </w:r>
      <w:r w:rsidR="00E5071E">
        <w:rPr>
          <w:rFonts w:ascii="Times New Roman" w:hAnsi="Times New Roman"/>
          <w:lang w:val="sv-SE"/>
        </w:rPr>
        <w:t xml:space="preserve"> har </w:t>
      </w:r>
      <w:r w:rsidR="00F03D89">
        <w:rPr>
          <w:rFonts w:ascii="Times New Roman" w:hAnsi="Times New Roman"/>
          <w:lang w:val="sv-SE"/>
        </w:rPr>
        <w:t xml:space="preserve">överklagat </w:t>
      </w:r>
      <w:proofErr w:type="spellStart"/>
      <w:r w:rsidR="0021644E">
        <w:rPr>
          <w:rFonts w:ascii="Times New Roman" w:hAnsi="Times New Roman"/>
          <w:lang w:val="sv-SE"/>
        </w:rPr>
        <w:t>IG</w:t>
      </w:r>
      <w:r w:rsidR="00734C0F">
        <w:rPr>
          <w:rFonts w:ascii="Times New Roman" w:hAnsi="Times New Roman"/>
          <w:lang w:val="sv-SE"/>
        </w:rPr>
        <w:t>N</w:t>
      </w:r>
      <w:r w:rsidR="0021644E">
        <w:rPr>
          <w:rFonts w:ascii="Times New Roman" w:hAnsi="Times New Roman"/>
          <w:lang w:val="sv-SE"/>
        </w:rPr>
        <w:t>:s</w:t>
      </w:r>
      <w:proofErr w:type="spellEnd"/>
      <w:r w:rsidR="00F03D89">
        <w:rPr>
          <w:rFonts w:ascii="Times New Roman" w:hAnsi="Times New Roman"/>
          <w:lang w:val="sv-SE"/>
        </w:rPr>
        <w:t xml:space="preserve"> beslut</w:t>
      </w:r>
      <w:r w:rsidR="00E5071E">
        <w:rPr>
          <w:rFonts w:ascii="Times New Roman" w:hAnsi="Times New Roman"/>
          <w:lang w:val="sv-SE"/>
        </w:rPr>
        <w:t xml:space="preserve"> till NBL</w:t>
      </w:r>
      <w:r w:rsidR="00DC6BBE">
        <w:rPr>
          <w:rFonts w:ascii="Times New Roman" w:hAnsi="Times New Roman"/>
          <w:lang w:val="sv-SE"/>
        </w:rPr>
        <w:t>.</w:t>
      </w:r>
      <w:r w:rsidR="00F03D89">
        <w:rPr>
          <w:rFonts w:ascii="Times New Roman" w:hAnsi="Times New Roman"/>
          <w:lang w:val="sv-SE"/>
        </w:rPr>
        <w:t xml:space="preserve"> Överklagandet</w:t>
      </w:r>
      <w:r w:rsidR="00E5071E">
        <w:rPr>
          <w:rFonts w:ascii="Times New Roman" w:hAnsi="Times New Roman"/>
          <w:lang w:val="sv-SE"/>
        </w:rPr>
        <w:t xml:space="preserve"> bifogas som </w:t>
      </w:r>
      <w:r w:rsidR="00F03D89" w:rsidRPr="00F03D89">
        <w:rPr>
          <w:rFonts w:ascii="Times New Roman" w:hAnsi="Times New Roman"/>
          <w:u w:val="single"/>
          <w:lang w:val="sv-SE"/>
        </w:rPr>
        <w:t xml:space="preserve">Bilaga </w:t>
      </w:r>
      <w:r>
        <w:rPr>
          <w:rFonts w:ascii="Times New Roman" w:hAnsi="Times New Roman"/>
          <w:u w:val="single"/>
          <w:lang w:val="sv-SE"/>
        </w:rPr>
        <w:t>4</w:t>
      </w:r>
      <w:r w:rsidR="00E5071E">
        <w:rPr>
          <w:rFonts w:ascii="Times New Roman" w:hAnsi="Times New Roman"/>
          <w:lang w:val="sv-SE"/>
        </w:rPr>
        <w:t>.</w:t>
      </w:r>
    </w:p>
    <w:p w14:paraId="4391A806" w14:textId="77777777" w:rsidR="009A61E2" w:rsidRDefault="009A61E2" w:rsidP="00757AA1">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p>
    <w:p w14:paraId="45E7D55B" w14:textId="77777777" w:rsidR="00E5071E" w:rsidRPr="00065726" w:rsidRDefault="00E5071E" w:rsidP="00757AA1">
      <w:pPr>
        <w:tabs>
          <w:tab w:val="left" w:pos="0"/>
          <w:tab w:val="left" w:pos="398"/>
          <w:tab w:val="left" w:pos="795"/>
          <w:tab w:val="left" w:pos="4310"/>
          <w:tab w:val="left" w:pos="9922"/>
          <w:tab w:val="left" w:pos="10436"/>
        </w:tabs>
        <w:ind w:left="902"/>
        <w:jc w:val="both"/>
        <w:rPr>
          <w:spacing w:val="-3"/>
        </w:rPr>
      </w:pPr>
      <w:proofErr w:type="spellStart"/>
      <w:r>
        <w:rPr>
          <w:b/>
          <w:spacing w:val="-3"/>
          <w:sz w:val="29"/>
        </w:rPr>
        <w:lastRenderedPageBreak/>
        <w:t>NBL</w:t>
      </w:r>
      <w:r w:rsidR="00F03D89">
        <w:rPr>
          <w:b/>
          <w:spacing w:val="-3"/>
          <w:sz w:val="29"/>
        </w:rPr>
        <w:t>:</w:t>
      </w:r>
      <w:r>
        <w:rPr>
          <w:b/>
          <w:spacing w:val="-3"/>
          <w:sz w:val="29"/>
        </w:rPr>
        <w:t>s</w:t>
      </w:r>
      <w:proofErr w:type="spellEnd"/>
      <w:r>
        <w:rPr>
          <w:b/>
          <w:spacing w:val="-3"/>
          <w:sz w:val="29"/>
        </w:rPr>
        <w:t xml:space="preserve"> bedömning</w:t>
      </w:r>
    </w:p>
    <w:p w14:paraId="69F0E277" w14:textId="77777777" w:rsidR="00284446" w:rsidRDefault="00284446" w:rsidP="00757AA1">
      <w:pPr>
        <w:tabs>
          <w:tab w:val="left" w:pos="0"/>
          <w:tab w:val="left" w:pos="398"/>
          <w:tab w:val="left" w:pos="795"/>
          <w:tab w:val="left" w:pos="4310"/>
          <w:tab w:val="left" w:pos="9922"/>
          <w:tab w:val="left" w:pos="10436"/>
        </w:tabs>
        <w:ind w:left="902"/>
        <w:jc w:val="both"/>
        <w:rPr>
          <w:spacing w:val="-3"/>
        </w:rPr>
      </w:pPr>
    </w:p>
    <w:p w14:paraId="592CEA56" w14:textId="77777777" w:rsidR="006F5BC8" w:rsidRPr="00C0014A" w:rsidRDefault="006F5BC8" w:rsidP="00757AA1">
      <w:pPr>
        <w:tabs>
          <w:tab w:val="left" w:pos="0"/>
          <w:tab w:val="left" w:pos="398"/>
          <w:tab w:val="left" w:pos="795"/>
          <w:tab w:val="left" w:pos="4310"/>
          <w:tab w:val="left" w:pos="9922"/>
          <w:tab w:val="left" w:pos="10436"/>
        </w:tabs>
        <w:ind w:left="902"/>
        <w:jc w:val="both"/>
        <w:rPr>
          <w:b/>
          <w:spacing w:val="-3"/>
        </w:rPr>
      </w:pPr>
      <w:r w:rsidRPr="00C0014A">
        <w:rPr>
          <w:b/>
          <w:spacing w:val="-3"/>
        </w:rPr>
        <w:t>Inledning</w:t>
      </w:r>
    </w:p>
    <w:p w14:paraId="2B26CFCB" w14:textId="77777777" w:rsidR="006F5BC8" w:rsidRDefault="006F5BC8" w:rsidP="00757AA1">
      <w:pPr>
        <w:tabs>
          <w:tab w:val="left" w:pos="0"/>
          <w:tab w:val="left" w:pos="398"/>
          <w:tab w:val="left" w:pos="795"/>
          <w:tab w:val="left" w:pos="4310"/>
          <w:tab w:val="left" w:pos="9922"/>
          <w:tab w:val="left" w:pos="10436"/>
        </w:tabs>
        <w:ind w:left="902"/>
        <w:jc w:val="both"/>
        <w:rPr>
          <w:spacing w:val="-3"/>
        </w:rPr>
      </w:pPr>
    </w:p>
    <w:p w14:paraId="0AFE5D77" w14:textId="77777777" w:rsidR="004F7F2A" w:rsidRDefault="005F2988" w:rsidP="004F7F2A">
      <w:pPr>
        <w:tabs>
          <w:tab w:val="left" w:pos="0"/>
          <w:tab w:val="left" w:pos="398"/>
          <w:tab w:val="left" w:pos="795"/>
          <w:tab w:val="left" w:pos="4310"/>
          <w:tab w:val="left" w:pos="9922"/>
          <w:tab w:val="left" w:pos="10436"/>
        </w:tabs>
        <w:ind w:left="902"/>
        <w:jc w:val="both"/>
        <w:rPr>
          <w:spacing w:val="-3"/>
        </w:rPr>
      </w:pPr>
      <w:r>
        <w:rPr>
          <w:spacing w:val="-3"/>
        </w:rPr>
        <w:t>Ä</w:t>
      </w:r>
      <w:r w:rsidR="004F7F2A">
        <w:rPr>
          <w:spacing w:val="-3"/>
        </w:rPr>
        <w:t xml:space="preserve">rendet gäller </w:t>
      </w:r>
      <w:r w:rsidR="0055435C">
        <w:rPr>
          <w:spacing w:val="-3"/>
        </w:rPr>
        <w:t>huruvida</w:t>
      </w:r>
      <w:r w:rsidR="00AF33CF">
        <w:rPr>
          <w:spacing w:val="-3"/>
        </w:rPr>
        <w:t xml:space="preserve"> den aktuella LinkedI</w:t>
      </w:r>
      <w:r w:rsidR="004F7F2A">
        <w:rPr>
          <w:spacing w:val="-3"/>
        </w:rPr>
        <w:t xml:space="preserve">n-publiceringen utgör marknadsföring av läkemedel </w:t>
      </w:r>
      <w:r w:rsidR="0055435C">
        <w:rPr>
          <w:spacing w:val="-3"/>
        </w:rPr>
        <w:t xml:space="preserve">i strid med LER </w:t>
      </w:r>
      <w:r w:rsidR="004F7F2A">
        <w:rPr>
          <w:spacing w:val="-3"/>
        </w:rPr>
        <w:t>för vilken Novartis kan göras ansvarig</w:t>
      </w:r>
      <w:r w:rsidR="0055435C">
        <w:rPr>
          <w:spacing w:val="-3"/>
        </w:rPr>
        <w:t>.</w:t>
      </w:r>
    </w:p>
    <w:p w14:paraId="5B5452FB" w14:textId="77777777" w:rsidR="006C243D" w:rsidRDefault="006C243D" w:rsidP="004F7F2A">
      <w:pPr>
        <w:tabs>
          <w:tab w:val="left" w:pos="0"/>
          <w:tab w:val="left" w:pos="398"/>
          <w:tab w:val="left" w:pos="795"/>
          <w:tab w:val="left" w:pos="4310"/>
          <w:tab w:val="left" w:pos="9922"/>
          <w:tab w:val="left" w:pos="10436"/>
        </w:tabs>
        <w:ind w:left="902"/>
        <w:jc w:val="both"/>
        <w:rPr>
          <w:spacing w:val="-3"/>
        </w:rPr>
      </w:pPr>
    </w:p>
    <w:p w14:paraId="4D003C3A" w14:textId="77777777" w:rsidR="006C243D" w:rsidRDefault="006C243D" w:rsidP="004F7F2A">
      <w:pPr>
        <w:tabs>
          <w:tab w:val="left" w:pos="0"/>
          <w:tab w:val="left" w:pos="398"/>
          <w:tab w:val="left" w:pos="795"/>
          <w:tab w:val="left" w:pos="4310"/>
          <w:tab w:val="left" w:pos="9922"/>
          <w:tab w:val="left" w:pos="10436"/>
        </w:tabs>
        <w:ind w:left="902"/>
        <w:jc w:val="both"/>
      </w:pPr>
      <w:r>
        <w:t xml:space="preserve">Informationsreglerna i LER är tillämpliga på läkemedelsföretags information som vid marknadsföring av läkemedel riktas antingen till läkare, tandläkare eller annan personal inom sjukvård och hälsovård eller läkemedelsdistribution (avdelning 1) eller till allmänheten (avdelning 2). Ansvariga enligt LER är de </w:t>
      </w:r>
      <w:r w:rsidR="000B37E8">
        <w:t xml:space="preserve">läkemedelsföretag som </w:t>
      </w:r>
      <w:r w:rsidR="0045065B">
        <w:t xml:space="preserve">har </w:t>
      </w:r>
      <w:r w:rsidR="000B37E8">
        <w:t xml:space="preserve">åtagit sig att följa regelverket eller som annars frivilligt medverkar i ärenden där marknadsföring i strid med regelverket görs gällande. </w:t>
      </w:r>
    </w:p>
    <w:p w14:paraId="1D135D21" w14:textId="77777777" w:rsidR="000B37E8" w:rsidRDefault="000B37E8" w:rsidP="004F7F2A">
      <w:pPr>
        <w:tabs>
          <w:tab w:val="left" w:pos="0"/>
          <w:tab w:val="left" w:pos="398"/>
          <w:tab w:val="left" w:pos="795"/>
          <w:tab w:val="left" w:pos="4310"/>
          <w:tab w:val="left" w:pos="9922"/>
          <w:tab w:val="left" w:pos="10436"/>
        </w:tabs>
        <w:ind w:left="902"/>
        <w:jc w:val="both"/>
      </w:pPr>
    </w:p>
    <w:p w14:paraId="0AE88F96" w14:textId="77777777" w:rsidR="001D2189" w:rsidRDefault="001D2189" w:rsidP="001D2189">
      <w:pPr>
        <w:spacing w:after="45"/>
        <w:ind w:left="900"/>
        <w:jc w:val="both"/>
      </w:pPr>
      <w:r>
        <w:t xml:space="preserve">Novartis invändningar aktualiserar först frågan om publiceringen ska anses som marknadsföring av läkemedel. Om den frågan besvaras jakande, </w:t>
      </w:r>
      <w:r w:rsidR="0045065B">
        <w:t xml:space="preserve">har </w:t>
      </w:r>
      <w:r>
        <w:t xml:space="preserve">NBL </w:t>
      </w:r>
      <w:r w:rsidR="0045065B">
        <w:t xml:space="preserve">att </w:t>
      </w:r>
      <w:r>
        <w:t xml:space="preserve">därefter ta ställning till om </w:t>
      </w:r>
      <w:r w:rsidR="00AC5445">
        <w:t xml:space="preserve">informationen riktar sig mot allmänheten på den svenska marknaden och om den strider mot artikel 102 i avdelning 2, kapitel 1 i LER. </w:t>
      </w:r>
      <w:r w:rsidR="006F5BC8">
        <w:t xml:space="preserve">Om så bedöms vara fallet är </w:t>
      </w:r>
      <w:r w:rsidR="00AC5445">
        <w:t xml:space="preserve">frågan om </w:t>
      </w:r>
      <w:r>
        <w:t>Novartis ansvar</w:t>
      </w:r>
      <w:r w:rsidR="006F5BC8">
        <w:t xml:space="preserve">ar </w:t>
      </w:r>
      <w:r>
        <w:t xml:space="preserve">för publiceringen. </w:t>
      </w:r>
    </w:p>
    <w:p w14:paraId="16D923BE" w14:textId="77777777" w:rsidR="005F2988" w:rsidRDefault="005F2988" w:rsidP="001D2189">
      <w:pPr>
        <w:spacing w:after="45"/>
        <w:ind w:left="900"/>
        <w:jc w:val="both"/>
      </w:pPr>
    </w:p>
    <w:p w14:paraId="233CF6FC" w14:textId="77777777" w:rsidR="005F2988" w:rsidRPr="005F2988" w:rsidRDefault="005F2988" w:rsidP="001D2189">
      <w:pPr>
        <w:spacing w:after="45"/>
        <w:ind w:left="900"/>
        <w:jc w:val="both"/>
        <w:rPr>
          <w:b/>
        </w:rPr>
      </w:pPr>
      <w:r>
        <w:rPr>
          <w:b/>
        </w:rPr>
        <w:t>Icke-kommersiell och kommersiell information</w:t>
      </w:r>
    </w:p>
    <w:p w14:paraId="74DBD58B" w14:textId="77777777" w:rsidR="001D2189" w:rsidRDefault="001D2189" w:rsidP="001D2189">
      <w:pPr>
        <w:spacing w:after="45"/>
        <w:ind w:left="900"/>
        <w:jc w:val="both"/>
      </w:pPr>
    </w:p>
    <w:p w14:paraId="309C37F3" w14:textId="77777777" w:rsidR="000B37E8" w:rsidRDefault="001D2189" w:rsidP="005F2988">
      <w:pPr>
        <w:tabs>
          <w:tab w:val="left" w:pos="0"/>
          <w:tab w:val="left" w:pos="398"/>
          <w:tab w:val="left" w:pos="795"/>
          <w:tab w:val="left" w:pos="4310"/>
          <w:tab w:val="left" w:pos="9922"/>
          <w:tab w:val="left" w:pos="10436"/>
        </w:tabs>
        <w:ind w:left="902"/>
        <w:jc w:val="both"/>
      </w:pPr>
      <w:r w:rsidRPr="003B1905">
        <w:t xml:space="preserve">NBL har </w:t>
      </w:r>
      <w:r w:rsidR="0045065B">
        <w:t xml:space="preserve">vid </w:t>
      </w:r>
      <w:r w:rsidRPr="003B1905">
        <w:t xml:space="preserve">tillämpning av </w:t>
      </w:r>
      <w:r>
        <w:t>reglerna</w:t>
      </w:r>
      <w:r w:rsidRPr="003B1905">
        <w:t xml:space="preserve"> för läkemedelsinformation gjort skillnad mellan icke-kommersiell och kommersiell information. Icke-kommersiell in</w:t>
      </w:r>
      <w:r>
        <w:t>formation skyddas av grundlagarnas</w:t>
      </w:r>
      <w:r w:rsidRPr="003B1905">
        <w:t xml:space="preserve"> regler om tryck- och yttrandefrihet och faller därför utanför marknadsföringslagens och läkemedelslagens bestämmelser samt – i de flesta fall – även utanför </w:t>
      </w:r>
      <w:r>
        <w:t>LER</w:t>
      </w:r>
      <w:r w:rsidRPr="003B1905">
        <w:t xml:space="preserve">. </w:t>
      </w:r>
      <w:r w:rsidR="005F2988">
        <w:t xml:space="preserve">Avgränsningen mellan vad som är yttrande- och tryckfrihetsrättsligt skyddat och vad som </w:t>
      </w:r>
      <w:r w:rsidR="00503E05">
        <w:t>ska</w:t>
      </w:r>
      <w:r w:rsidR="005F2988">
        <w:t xml:space="preserve"> bedömas enligt de marknadsrättsliga reglerna grundas på framställningens syfte och innehåll. </w:t>
      </w:r>
      <w:r w:rsidRPr="003B1905">
        <w:t>En framställning anses utgöra kommersiell information först om den har både ett kommersiellt syfte och rent kommers</w:t>
      </w:r>
      <w:r>
        <w:t>iella förhållanden till föremål</w:t>
      </w:r>
      <w:r w:rsidR="00DE0E7A">
        <w:t xml:space="preserve">. Till detta område räknas framställningar </w:t>
      </w:r>
      <w:r>
        <w:t>om en näringsidkares affärsverksamhet eller där</w:t>
      </w:r>
      <w:r w:rsidR="00DE0E7A">
        <w:t>i</w:t>
      </w:r>
      <w:r>
        <w:t xml:space="preserve"> tillhandahållna varor </w:t>
      </w:r>
      <w:r w:rsidR="00DE0E7A">
        <w:t>eller</w:t>
      </w:r>
      <w:r>
        <w:t xml:space="preserve"> tjänster</w:t>
      </w:r>
      <w:r w:rsidR="00DE0E7A">
        <w:t xml:space="preserve"> som har ett kommersiellt, vanligtvis avsättningsfrämjande, syfte.</w:t>
      </w:r>
    </w:p>
    <w:p w14:paraId="741B21E4" w14:textId="77777777" w:rsidR="00AC5445" w:rsidRDefault="00AC5445" w:rsidP="001D2189">
      <w:pPr>
        <w:tabs>
          <w:tab w:val="left" w:pos="0"/>
          <w:tab w:val="left" w:pos="398"/>
          <w:tab w:val="left" w:pos="795"/>
          <w:tab w:val="left" w:pos="4310"/>
          <w:tab w:val="left" w:pos="9922"/>
          <w:tab w:val="left" w:pos="10436"/>
        </w:tabs>
        <w:ind w:left="902"/>
        <w:jc w:val="both"/>
      </w:pPr>
    </w:p>
    <w:p w14:paraId="4FF02602" w14:textId="77777777" w:rsidR="00105239" w:rsidRDefault="006D33D5" w:rsidP="001D2189">
      <w:pPr>
        <w:tabs>
          <w:tab w:val="left" w:pos="0"/>
          <w:tab w:val="left" w:pos="398"/>
          <w:tab w:val="left" w:pos="795"/>
          <w:tab w:val="left" w:pos="4310"/>
          <w:tab w:val="left" w:pos="9922"/>
          <w:tab w:val="left" w:pos="10436"/>
        </w:tabs>
        <w:ind w:left="902"/>
        <w:jc w:val="both"/>
      </w:pPr>
      <w:r>
        <w:t xml:space="preserve">Huruvida informationen är kommersiell eller icke-kommersiell får avgöras utifrån en samlad bedömning av alla omständigheter i det enskilda ärendet. </w:t>
      </w:r>
    </w:p>
    <w:p w14:paraId="4AEEF012" w14:textId="77777777" w:rsidR="005F2988" w:rsidRDefault="005F2988" w:rsidP="001D2189">
      <w:pPr>
        <w:tabs>
          <w:tab w:val="left" w:pos="0"/>
          <w:tab w:val="left" w:pos="398"/>
          <w:tab w:val="left" w:pos="795"/>
          <w:tab w:val="left" w:pos="4310"/>
          <w:tab w:val="left" w:pos="9922"/>
          <w:tab w:val="left" w:pos="10436"/>
        </w:tabs>
        <w:ind w:left="902"/>
        <w:jc w:val="both"/>
      </w:pPr>
    </w:p>
    <w:p w14:paraId="4B7CB81B" w14:textId="77777777" w:rsidR="00105239" w:rsidRDefault="00AF33CF" w:rsidP="001D2189">
      <w:pPr>
        <w:tabs>
          <w:tab w:val="left" w:pos="0"/>
          <w:tab w:val="left" w:pos="398"/>
          <w:tab w:val="left" w:pos="795"/>
          <w:tab w:val="left" w:pos="4310"/>
          <w:tab w:val="left" w:pos="9922"/>
          <w:tab w:val="left" w:pos="10436"/>
        </w:tabs>
        <w:ind w:left="902"/>
        <w:jc w:val="both"/>
      </w:pPr>
      <w:r>
        <w:t>Publiceringen på LinkedI</w:t>
      </w:r>
      <w:r w:rsidR="008376F2" w:rsidRPr="007D6561">
        <w:t xml:space="preserve">n </w:t>
      </w:r>
      <w:r w:rsidR="007D6561" w:rsidRPr="007D6561">
        <w:t>består av ett inlägg med texten "</w:t>
      </w:r>
      <w:r w:rsidR="007D6561" w:rsidRPr="005F2988">
        <w:rPr>
          <w:i/>
        </w:rPr>
        <w:t xml:space="preserve">Novartis just </w:t>
      </w:r>
      <w:proofErr w:type="spellStart"/>
      <w:r w:rsidR="007D6561" w:rsidRPr="005F2988">
        <w:rPr>
          <w:i/>
        </w:rPr>
        <w:t>received</w:t>
      </w:r>
      <w:proofErr w:type="spellEnd"/>
      <w:r w:rsidR="007D6561" w:rsidRPr="005F2988">
        <w:rPr>
          <w:i/>
        </w:rPr>
        <w:t xml:space="preserve"> EU </w:t>
      </w:r>
      <w:proofErr w:type="spellStart"/>
      <w:r w:rsidR="007D6561" w:rsidRPr="005F2988">
        <w:rPr>
          <w:i/>
        </w:rPr>
        <w:t>approval</w:t>
      </w:r>
      <w:proofErr w:type="spellEnd"/>
      <w:r w:rsidR="007D6561" w:rsidRPr="005F2988">
        <w:rPr>
          <w:i/>
        </w:rPr>
        <w:t xml:space="preserve"> for a new </w:t>
      </w:r>
      <w:proofErr w:type="spellStart"/>
      <w:r w:rsidR="007D6561" w:rsidRPr="005F2988">
        <w:rPr>
          <w:i/>
        </w:rPr>
        <w:t>migraine</w:t>
      </w:r>
      <w:proofErr w:type="spellEnd"/>
      <w:r w:rsidR="007D6561" w:rsidRPr="005F2988">
        <w:rPr>
          <w:i/>
        </w:rPr>
        <w:t xml:space="preserve"> </w:t>
      </w:r>
      <w:proofErr w:type="spellStart"/>
      <w:r w:rsidR="007D6561" w:rsidRPr="005F2988">
        <w:rPr>
          <w:i/>
        </w:rPr>
        <w:t>treatment</w:t>
      </w:r>
      <w:proofErr w:type="spellEnd"/>
      <w:r w:rsidR="007D6561" w:rsidRPr="005F2988">
        <w:rPr>
          <w:i/>
        </w:rPr>
        <w:t>!</w:t>
      </w:r>
      <w:r w:rsidR="007D6561" w:rsidRPr="007D6561">
        <w:t>"</w:t>
      </w:r>
      <w:r w:rsidR="007D6561">
        <w:t xml:space="preserve"> samt </w:t>
      </w:r>
      <w:r w:rsidR="008376F2" w:rsidRPr="007D6561">
        <w:t>innehåller ett pressmeddelande från Novartis med rubriken "</w:t>
      </w:r>
      <w:r w:rsidR="008376F2" w:rsidRPr="005F2988">
        <w:rPr>
          <w:i/>
        </w:rPr>
        <w:t xml:space="preserve">Novartis marks a new era for </w:t>
      </w:r>
      <w:proofErr w:type="spellStart"/>
      <w:r w:rsidR="008376F2" w:rsidRPr="005F2988">
        <w:rPr>
          <w:i/>
        </w:rPr>
        <w:t>migraine</w:t>
      </w:r>
      <w:proofErr w:type="spellEnd"/>
      <w:r w:rsidR="008376F2" w:rsidRPr="005F2988">
        <w:rPr>
          <w:i/>
        </w:rPr>
        <w:t xml:space="preserve"> patients with the EU </w:t>
      </w:r>
      <w:proofErr w:type="spellStart"/>
      <w:r w:rsidR="008376F2" w:rsidRPr="005F2988">
        <w:rPr>
          <w:i/>
        </w:rPr>
        <w:t>approval</w:t>
      </w:r>
      <w:proofErr w:type="spellEnd"/>
      <w:r w:rsidR="00C0619B">
        <w:rPr>
          <w:i/>
        </w:rPr>
        <w:t xml:space="preserve"> </w:t>
      </w:r>
      <w:proofErr w:type="spellStart"/>
      <w:r w:rsidR="008376F2" w:rsidRPr="005F2988">
        <w:rPr>
          <w:i/>
        </w:rPr>
        <w:t>of</w:t>
      </w:r>
      <w:proofErr w:type="spellEnd"/>
      <w:r w:rsidR="008376F2" w:rsidRPr="005F2988">
        <w:rPr>
          <w:i/>
        </w:rPr>
        <w:t xml:space="preserve"> </w:t>
      </w:r>
      <w:proofErr w:type="spellStart"/>
      <w:r w:rsidR="008376F2" w:rsidRPr="005F2988">
        <w:rPr>
          <w:i/>
        </w:rPr>
        <w:t>Aimovig</w:t>
      </w:r>
      <w:proofErr w:type="spellEnd"/>
      <w:r w:rsidR="007D6561" w:rsidRPr="005F2988">
        <w:rPr>
          <w:i/>
          <w:vertAlign w:val="superscript"/>
        </w:rPr>
        <w:t>®</w:t>
      </w:r>
      <w:r w:rsidR="007D6561" w:rsidRPr="005F2988">
        <w:rPr>
          <w:i/>
        </w:rPr>
        <w:t xml:space="preserve">, a </w:t>
      </w:r>
      <w:proofErr w:type="spellStart"/>
      <w:r w:rsidR="007D6561" w:rsidRPr="005F2988">
        <w:rPr>
          <w:i/>
        </w:rPr>
        <w:t>first</w:t>
      </w:r>
      <w:proofErr w:type="spellEnd"/>
      <w:r w:rsidR="007D6561" w:rsidRPr="005F2988">
        <w:rPr>
          <w:i/>
        </w:rPr>
        <w:t>-</w:t>
      </w:r>
      <w:proofErr w:type="spellStart"/>
      <w:r w:rsidR="007D6561" w:rsidRPr="005F2988">
        <w:rPr>
          <w:i/>
        </w:rPr>
        <w:t>of</w:t>
      </w:r>
      <w:proofErr w:type="spellEnd"/>
      <w:r w:rsidR="007D6561" w:rsidRPr="005F2988">
        <w:rPr>
          <w:i/>
        </w:rPr>
        <w:t>-</w:t>
      </w:r>
      <w:proofErr w:type="spellStart"/>
      <w:r w:rsidR="007D6561" w:rsidRPr="005F2988">
        <w:rPr>
          <w:i/>
        </w:rPr>
        <w:t>its</w:t>
      </w:r>
      <w:proofErr w:type="spellEnd"/>
      <w:r w:rsidR="007D6561" w:rsidRPr="005F2988">
        <w:rPr>
          <w:i/>
        </w:rPr>
        <w:t xml:space="preserve">-kind </w:t>
      </w:r>
      <w:proofErr w:type="spellStart"/>
      <w:r w:rsidR="007D6561" w:rsidRPr="005F2988">
        <w:rPr>
          <w:i/>
        </w:rPr>
        <w:t>treatment</w:t>
      </w:r>
      <w:proofErr w:type="spellEnd"/>
      <w:r w:rsidR="007D6561" w:rsidRPr="005F2988">
        <w:rPr>
          <w:i/>
        </w:rPr>
        <w:t xml:space="preserve"> </w:t>
      </w:r>
      <w:proofErr w:type="spellStart"/>
      <w:r w:rsidR="007D6561" w:rsidRPr="005F2988">
        <w:rPr>
          <w:i/>
        </w:rPr>
        <w:t>specifically</w:t>
      </w:r>
      <w:proofErr w:type="spellEnd"/>
      <w:r w:rsidR="007D6561" w:rsidRPr="005F2988">
        <w:rPr>
          <w:i/>
        </w:rPr>
        <w:t xml:space="preserve"> </w:t>
      </w:r>
      <w:proofErr w:type="spellStart"/>
      <w:r w:rsidR="007D6561" w:rsidRPr="005F2988">
        <w:rPr>
          <w:i/>
        </w:rPr>
        <w:t>designed</w:t>
      </w:r>
      <w:proofErr w:type="spellEnd"/>
      <w:r w:rsidR="007D6561" w:rsidRPr="005F2988">
        <w:rPr>
          <w:i/>
        </w:rPr>
        <w:t xml:space="preserve"> for </w:t>
      </w:r>
      <w:proofErr w:type="spellStart"/>
      <w:r w:rsidR="007D6561" w:rsidRPr="005F2988">
        <w:rPr>
          <w:i/>
        </w:rPr>
        <w:t>migraine</w:t>
      </w:r>
      <w:proofErr w:type="spellEnd"/>
      <w:r w:rsidR="007D6561" w:rsidRPr="005F2988">
        <w:rPr>
          <w:i/>
        </w:rPr>
        <w:t xml:space="preserve"> prevention</w:t>
      </w:r>
      <w:r w:rsidR="007D6561" w:rsidRPr="007D6561">
        <w:t xml:space="preserve">". </w:t>
      </w:r>
      <w:r w:rsidR="007D6561">
        <w:t>Eftersom i</w:t>
      </w:r>
      <w:r w:rsidR="008376F2">
        <w:t xml:space="preserve">nnehållet </w:t>
      </w:r>
      <w:r w:rsidR="007D6561">
        <w:t xml:space="preserve">uteslutande handlar om </w:t>
      </w:r>
      <w:r w:rsidR="008376F2">
        <w:t>Novartis</w:t>
      </w:r>
      <w:r w:rsidR="007D6561">
        <w:t xml:space="preserve"> läkemedel</w:t>
      </w:r>
      <w:r w:rsidR="004B4C2C">
        <w:t xml:space="preserve"> får innehållet i framstäl</w:t>
      </w:r>
      <w:r w:rsidR="005F2988">
        <w:t xml:space="preserve">lningen bedömas som kommersiellt. </w:t>
      </w:r>
      <w:r w:rsidR="004B4C2C">
        <w:t>Även syftet med framställningen får anses vara påtagligt kommersiell</w:t>
      </w:r>
      <w:r w:rsidR="00350609">
        <w:t>t</w:t>
      </w:r>
      <w:r w:rsidR="004B4C2C">
        <w:t xml:space="preserve"> med hänsyn till att d</w:t>
      </w:r>
      <w:r w:rsidR="00105239">
        <w:t xml:space="preserve">en publicerade texten och länken till pressmeddelandet är tydligt fokuserad på att framhäva Novartis </w:t>
      </w:r>
      <w:r w:rsidR="004B4C2C">
        <w:t xml:space="preserve">framsteg på läkemedelsmarknaden genom godkännandet av det nya läkemedlet. </w:t>
      </w:r>
    </w:p>
    <w:p w14:paraId="0AAFCE49" w14:textId="77777777" w:rsidR="00105239" w:rsidRDefault="00105239" w:rsidP="001D2189">
      <w:pPr>
        <w:tabs>
          <w:tab w:val="left" w:pos="0"/>
          <w:tab w:val="left" w:pos="398"/>
          <w:tab w:val="left" w:pos="795"/>
          <w:tab w:val="left" w:pos="4310"/>
          <w:tab w:val="left" w:pos="9922"/>
          <w:tab w:val="left" w:pos="10436"/>
        </w:tabs>
        <w:ind w:left="902"/>
        <w:jc w:val="both"/>
      </w:pPr>
    </w:p>
    <w:p w14:paraId="15897E45" w14:textId="77777777" w:rsidR="00105239" w:rsidRDefault="00105239" w:rsidP="001D2189">
      <w:pPr>
        <w:tabs>
          <w:tab w:val="left" w:pos="0"/>
          <w:tab w:val="left" w:pos="398"/>
          <w:tab w:val="left" w:pos="795"/>
          <w:tab w:val="left" w:pos="4310"/>
          <w:tab w:val="left" w:pos="9922"/>
          <w:tab w:val="left" w:pos="10436"/>
        </w:tabs>
        <w:ind w:left="902"/>
        <w:jc w:val="both"/>
      </w:pPr>
      <w:r>
        <w:t xml:space="preserve">Informationen har således både ett kommersiellt syfte och rent kommersiella förhållanden till föremål. </w:t>
      </w:r>
      <w:r w:rsidR="00C0619B">
        <w:t xml:space="preserve">Informationen utgör därmed </w:t>
      </w:r>
      <w:r>
        <w:t xml:space="preserve">marknadsföring. </w:t>
      </w:r>
    </w:p>
    <w:p w14:paraId="56BDD5F0" w14:textId="77777777" w:rsidR="00350609" w:rsidRDefault="00350609" w:rsidP="001D2189">
      <w:pPr>
        <w:tabs>
          <w:tab w:val="left" w:pos="0"/>
          <w:tab w:val="left" w:pos="398"/>
          <w:tab w:val="left" w:pos="795"/>
          <w:tab w:val="left" w:pos="4310"/>
          <w:tab w:val="left" w:pos="9922"/>
          <w:tab w:val="left" w:pos="10436"/>
        </w:tabs>
        <w:ind w:left="902"/>
        <w:jc w:val="both"/>
      </w:pPr>
    </w:p>
    <w:p w14:paraId="4BC52CDB" w14:textId="77777777" w:rsidR="00350609" w:rsidRPr="00350609" w:rsidRDefault="00350609" w:rsidP="001D2189">
      <w:pPr>
        <w:tabs>
          <w:tab w:val="left" w:pos="0"/>
          <w:tab w:val="left" w:pos="398"/>
          <w:tab w:val="left" w:pos="795"/>
          <w:tab w:val="left" w:pos="4310"/>
          <w:tab w:val="left" w:pos="9922"/>
          <w:tab w:val="left" w:pos="10436"/>
        </w:tabs>
        <w:ind w:left="902"/>
        <w:jc w:val="both"/>
        <w:rPr>
          <w:b/>
          <w:spacing w:val="-3"/>
        </w:rPr>
      </w:pPr>
      <w:r>
        <w:rPr>
          <w:b/>
        </w:rPr>
        <w:t>Pressmeddelanden</w:t>
      </w:r>
    </w:p>
    <w:p w14:paraId="6656B123" w14:textId="77777777" w:rsidR="004F7F2A" w:rsidRDefault="004F7F2A" w:rsidP="0055435C">
      <w:pPr>
        <w:tabs>
          <w:tab w:val="left" w:pos="0"/>
          <w:tab w:val="left" w:pos="398"/>
          <w:tab w:val="left" w:pos="795"/>
          <w:tab w:val="left" w:pos="4310"/>
          <w:tab w:val="left" w:pos="9922"/>
          <w:tab w:val="left" w:pos="10436"/>
        </w:tabs>
        <w:jc w:val="both"/>
        <w:rPr>
          <w:spacing w:val="-3"/>
        </w:rPr>
      </w:pPr>
    </w:p>
    <w:p w14:paraId="26D674EB" w14:textId="77777777" w:rsidR="000305C8" w:rsidRDefault="004B4C2C" w:rsidP="00757AA1">
      <w:pPr>
        <w:tabs>
          <w:tab w:val="left" w:pos="0"/>
          <w:tab w:val="left" w:pos="398"/>
          <w:tab w:val="left" w:pos="795"/>
          <w:tab w:val="left" w:pos="4310"/>
          <w:tab w:val="left" w:pos="9922"/>
          <w:tab w:val="left" w:pos="10436"/>
        </w:tabs>
        <w:ind w:left="902"/>
        <w:jc w:val="both"/>
        <w:rPr>
          <w:spacing w:val="-3"/>
        </w:rPr>
      </w:pPr>
      <w:r>
        <w:rPr>
          <w:spacing w:val="-3"/>
        </w:rPr>
        <w:t xml:space="preserve">Novartis har </w:t>
      </w:r>
      <w:r w:rsidR="00C0619B">
        <w:rPr>
          <w:spacing w:val="-3"/>
        </w:rPr>
        <w:t xml:space="preserve">anfört </w:t>
      </w:r>
      <w:r>
        <w:rPr>
          <w:spacing w:val="-3"/>
        </w:rPr>
        <w:t xml:space="preserve">att pressmeddelandet som sådant inte har marknadsföringskaraktär. När det gäller pressmeddelanden i allmänhet, </w:t>
      </w:r>
      <w:r w:rsidR="000A20AB">
        <w:rPr>
          <w:spacing w:val="-3"/>
        </w:rPr>
        <w:t xml:space="preserve">sänds de vanligtvis </w:t>
      </w:r>
      <w:r w:rsidR="00350609">
        <w:rPr>
          <w:spacing w:val="-3"/>
        </w:rPr>
        <w:t>till journalister och massmedia</w:t>
      </w:r>
      <w:r w:rsidR="000A20AB">
        <w:rPr>
          <w:spacing w:val="-3"/>
        </w:rPr>
        <w:t xml:space="preserve">, som normalt inte utgör målgrupp för kommersiell läkemedelsinformation. Under förutsättning att </w:t>
      </w:r>
      <w:r w:rsidR="000305C8">
        <w:rPr>
          <w:spacing w:val="-3"/>
        </w:rPr>
        <w:t xml:space="preserve">ett </w:t>
      </w:r>
      <w:r w:rsidR="000A20AB">
        <w:rPr>
          <w:spacing w:val="-3"/>
        </w:rPr>
        <w:t xml:space="preserve">pressmeddelande i sig </w:t>
      </w:r>
      <w:r w:rsidR="00C0619B">
        <w:rPr>
          <w:spacing w:val="-3"/>
        </w:rPr>
        <w:t xml:space="preserve">innehåller </w:t>
      </w:r>
      <w:r w:rsidR="000A20AB">
        <w:rPr>
          <w:spacing w:val="-3"/>
        </w:rPr>
        <w:t>uppgifter inom ramen för en nyhetsförmedling</w:t>
      </w:r>
      <w:r w:rsidR="00FE4917">
        <w:rPr>
          <w:spacing w:val="-3"/>
        </w:rPr>
        <w:t>,</w:t>
      </w:r>
      <w:r w:rsidR="000A20AB">
        <w:rPr>
          <w:spacing w:val="-3"/>
        </w:rPr>
        <w:t xml:space="preserve"> är de</w:t>
      </w:r>
      <w:r w:rsidR="000305C8">
        <w:rPr>
          <w:spacing w:val="-3"/>
        </w:rPr>
        <w:t xml:space="preserve">t </w:t>
      </w:r>
      <w:r>
        <w:rPr>
          <w:spacing w:val="-3"/>
        </w:rPr>
        <w:t>typiskt sett att betrakta som icke-kommersiell information</w:t>
      </w:r>
      <w:r w:rsidR="000305C8">
        <w:rPr>
          <w:spacing w:val="-3"/>
        </w:rPr>
        <w:t xml:space="preserve">. Pressmeddelandet utgör då inte </w:t>
      </w:r>
      <w:r>
        <w:rPr>
          <w:spacing w:val="-3"/>
        </w:rPr>
        <w:t xml:space="preserve">marknadsföring. </w:t>
      </w:r>
      <w:r w:rsidR="000A20AB">
        <w:rPr>
          <w:spacing w:val="-3"/>
        </w:rPr>
        <w:t xml:space="preserve">Det förutsätter dock att </w:t>
      </w:r>
      <w:r w:rsidR="000305C8">
        <w:rPr>
          <w:spacing w:val="-3"/>
        </w:rPr>
        <w:t xml:space="preserve">pressmeddelandet </w:t>
      </w:r>
      <w:r w:rsidR="000A20AB">
        <w:rPr>
          <w:spacing w:val="-3"/>
        </w:rPr>
        <w:t>inte sprids på ett sådant sätt att de</w:t>
      </w:r>
      <w:r w:rsidR="00350609">
        <w:rPr>
          <w:spacing w:val="-3"/>
        </w:rPr>
        <w:t>t</w:t>
      </w:r>
      <w:r w:rsidR="000A20AB">
        <w:rPr>
          <w:spacing w:val="-3"/>
        </w:rPr>
        <w:t xml:space="preserve"> därigenom används i ett kommersiellt syfte eller sammanhang. Ett pressmeddelande som </w:t>
      </w:r>
      <w:r w:rsidR="000305C8">
        <w:rPr>
          <w:spacing w:val="-3"/>
        </w:rPr>
        <w:t xml:space="preserve">normalt </w:t>
      </w:r>
      <w:r w:rsidR="000A20AB">
        <w:rPr>
          <w:spacing w:val="-3"/>
        </w:rPr>
        <w:t>skulle</w:t>
      </w:r>
      <w:r w:rsidR="00350609">
        <w:rPr>
          <w:spacing w:val="-3"/>
        </w:rPr>
        <w:t xml:space="preserve"> bedömas som icke-kommersiellt</w:t>
      </w:r>
      <w:r w:rsidR="000A20AB">
        <w:rPr>
          <w:spacing w:val="-3"/>
        </w:rPr>
        <w:t xml:space="preserve"> kan </w:t>
      </w:r>
      <w:r w:rsidR="000305C8">
        <w:rPr>
          <w:spacing w:val="-3"/>
        </w:rPr>
        <w:t xml:space="preserve">alltså </w:t>
      </w:r>
      <w:r w:rsidR="000A20AB">
        <w:rPr>
          <w:spacing w:val="-3"/>
        </w:rPr>
        <w:t xml:space="preserve">bedömas som kommersiellt </w:t>
      </w:r>
      <w:r w:rsidR="000305C8">
        <w:rPr>
          <w:spacing w:val="-3"/>
        </w:rPr>
        <w:t xml:space="preserve">– och därmed utgöra marknadsföring – </w:t>
      </w:r>
      <w:r w:rsidR="0045065B">
        <w:rPr>
          <w:spacing w:val="-3"/>
        </w:rPr>
        <w:t xml:space="preserve">genom det sätt på vilket det har getts spridning. </w:t>
      </w:r>
      <w:r w:rsidR="000A20AB">
        <w:rPr>
          <w:spacing w:val="-3"/>
        </w:rPr>
        <w:t xml:space="preserve"> </w:t>
      </w:r>
    </w:p>
    <w:p w14:paraId="0C500FC0" w14:textId="77777777" w:rsidR="000305C8" w:rsidRDefault="000305C8" w:rsidP="00757AA1">
      <w:pPr>
        <w:tabs>
          <w:tab w:val="left" w:pos="0"/>
          <w:tab w:val="left" w:pos="398"/>
          <w:tab w:val="left" w:pos="795"/>
          <w:tab w:val="left" w:pos="4310"/>
          <w:tab w:val="left" w:pos="9922"/>
          <w:tab w:val="left" w:pos="10436"/>
        </w:tabs>
        <w:ind w:left="902"/>
        <w:jc w:val="both"/>
        <w:rPr>
          <w:spacing w:val="-3"/>
        </w:rPr>
      </w:pPr>
    </w:p>
    <w:p w14:paraId="7678EAF3" w14:textId="77777777" w:rsidR="004F7F2A" w:rsidRDefault="000A20AB" w:rsidP="00757AA1">
      <w:pPr>
        <w:tabs>
          <w:tab w:val="left" w:pos="0"/>
          <w:tab w:val="left" w:pos="398"/>
          <w:tab w:val="left" w:pos="795"/>
          <w:tab w:val="left" w:pos="4310"/>
          <w:tab w:val="left" w:pos="9922"/>
          <w:tab w:val="left" w:pos="10436"/>
        </w:tabs>
        <w:ind w:left="902"/>
        <w:jc w:val="both"/>
        <w:rPr>
          <w:spacing w:val="-3"/>
        </w:rPr>
      </w:pPr>
      <w:r>
        <w:rPr>
          <w:spacing w:val="-3"/>
        </w:rPr>
        <w:t xml:space="preserve">I förevarande fall har pressmeddelandet </w:t>
      </w:r>
      <w:r w:rsidR="000305C8">
        <w:rPr>
          <w:spacing w:val="-3"/>
        </w:rPr>
        <w:t xml:space="preserve">genom länken på LinkedIn </w:t>
      </w:r>
      <w:r>
        <w:rPr>
          <w:spacing w:val="-3"/>
        </w:rPr>
        <w:t>spri</w:t>
      </w:r>
      <w:r w:rsidR="00502A24">
        <w:rPr>
          <w:spacing w:val="-3"/>
        </w:rPr>
        <w:t xml:space="preserve">dits utanför </w:t>
      </w:r>
      <w:r w:rsidR="000305C8">
        <w:rPr>
          <w:spacing w:val="-3"/>
        </w:rPr>
        <w:t xml:space="preserve">den normala kretsen mottagare (dvs. </w:t>
      </w:r>
      <w:r w:rsidR="00502A24">
        <w:rPr>
          <w:spacing w:val="-3"/>
        </w:rPr>
        <w:t>jo</w:t>
      </w:r>
      <w:r w:rsidR="00350609">
        <w:rPr>
          <w:spacing w:val="-3"/>
        </w:rPr>
        <w:t>u</w:t>
      </w:r>
      <w:r w:rsidR="00502A24">
        <w:rPr>
          <w:spacing w:val="-3"/>
        </w:rPr>
        <w:t>rnalist</w:t>
      </w:r>
      <w:r w:rsidR="00A0466D">
        <w:rPr>
          <w:spacing w:val="-3"/>
        </w:rPr>
        <w:t>er och massmedia</w:t>
      </w:r>
      <w:r w:rsidR="000305C8">
        <w:rPr>
          <w:spacing w:val="-3"/>
        </w:rPr>
        <w:t>)</w:t>
      </w:r>
      <w:r w:rsidR="00A0466D">
        <w:rPr>
          <w:spacing w:val="-3"/>
        </w:rPr>
        <w:t xml:space="preserve">. </w:t>
      </w:r>
      <w:r w:rsidR="00FC1BA4">
        <w:rPr>
          <w:spacing w:val="-3"/>
        </w:rPr>
        <w:t>Bedömninge</w:t>
      </w:r>
      <w:r w:rsidR="00A0466D">
        <w:rPr>
          <w:spacing w:val="-3"/>
        </w:rPr>
        <w:t xml:space="preserve">n </w:t>
      </w:r>
      <w:r w:rsidR="00FC1BA4">
        <w:rPr>
          <w:spacing w:val="-3"/>
        </w:rPr>
        <w:t xml:space="preserve">att den anmälda informationen är kommersiell till syfte och innehåll förändras inte av det </w:t>
      </w:r>
      <w:r w:rsidR="009A540D">
        <w:rPr>
          <w:spacing w:val="-3"/>
        </w:rPr>
        <w:t xml:space="preserve">förhållandet </w:t>
      </w:r>
      <w:r w:rsidR="00FC1BA4">
        <w:rPr>
          <w:spacing w:val="-3"/>
        </w:rPr>
        <w:t xml:space="preserve">att </w:t>
      </w:r>
      <w:r w:rsidR="009A540D">
        <w:rPr>
          <w:spacing w:val="-3"/>
        </w:rPr>
        <w:t xml:space="preserve">informationen </w:t>
      </w:r>
      <w:r w:rsidR="00FC1BA4">
        <w:rPr>
          <w:spacing w:val="-3"/>
        </w:rPr>
        <w:t>har spridits i formen av ett pressmeddelande.</w:t>
      </w:r>
    </w:p>
    <w:p w14:paraId="17DA60F2" w14:textId="77777777" w:rsidR="00350609" w:rsidRDefault="00350609" w:rsidP="00757AA1">
      <w:pPr>
        <w:tabs>
          <w:tab w:val="left" w:pos="0"/>
          <w:tab w:val="left" w:pos="398"/>
          <w:tab w:val="left" w:pos="795"/>
          <w:tab w:val="left" w:pos="4310"/>
          <w:tab w:val="left" w:pos="9922"/>
          <w:tab w:val="left" w:pos="10436"/>
        </w:tabs>
        <w:ind w:left="902"/>
        <w:jc w:val="both"/>
        <w:rPr>
          <w:spacing w:val="-3"/>
        </w:rPr>
      </w:pPr>
    </w:p>
    <w:p w14:paraId="2FC5D059" w14:textId="77777777" w:rsidR="00350609" w:rsidRPr="00350609" w:rsidRDefault="00350609" w:rsidP="00757AA1">
      <w:pPr>
        <w:tabs>
          <w:tab w:val="left" w:pos="0"/>
          <w:tab w:val="left" w:pos="398"/>
          <w:tab w:val="left" w:pos="795"/>
          <w:tab w:val="left" w:pos="4310"/>
          <w:tab w:val="left" w:pos="9922"/>
          <w:tab w:val="left" w:pos="10436"/>
        </w:tabs>
        <w:ind w:left="902"/>
        <w:jc w:val="both"/>
        <w:rPr>
          <w:b/>
          <w:spacing w:val="-3"/>
        </w:rPr>
      </w:pPr>
      <w:r>
        <w:rPr>
          <w:b/>
          <w:spacing w:val="-3"/>
        </w:rPr>
        <w:t>Institutionell reklam</w:t>
      </w:r>
    </w:p>
    <w:p w14:paraId="52D6B528" w14:textId="77777777" w:rsidR="006C243D" w:rsidRDefault="006C243D" w:rsidP="00A0466D">
      <w:pPr>
        <w:tabs>
          <w:tab w:val="left" w:pos="0"/>
          <w:tab w:val="left" w:pos="398"/>
          <w:tab w:val="left" w:pos="795"/>
          <w:tab w:val="left" w:pos="4310"/>
          <w:tab w:val="left" w:pos="9922"/>
          <w:tab w:val="left" w:pos="10436"/>
        </w:tabs>
        <w:jc w:val="both"/>
        <w:rPr>
          <w:spacing w:val="-3"/>
        </w:rPr>
      </w:pPr>
    </w:p>
    <w:p w14:paraId="11F09CAC" w14:textId="77777777" w:rsidR="00766F6F" w:rsidRDefault="006C243D" w:rsidP="006C243D">
      <w:pPr>
        <w:tabs>
          <w:tab w:val="left" w:pos="0"/>
          <w:tab w:val="left" w:pos="398"/>
          <w:tab w:val="left" w:pos="795"/>
          <w:tab w:val="left" w:pos="4310"/>
          <w:tab w:val="left" w:pos="9922"/>
          <w:tab w:val="left" w:pos="10436"/>
        </w:tabs>
        <w:ind w:left="902"/>
        <w:jc w:val="both"/>
      </w:pPr>
      <w:r>
        <w:t xml:space="preserve">Informationsreglerna i LER är inte tillämpliga på ett läkemedelsföretags marknadsföring som avser annat än läkemedel – exempelvis s.k. institutionell reklam. </w:t>
      </w:r>
      <w:r w:rsidR="00766F6F">
        <w:t xml:space="preserve">Med detta </w:t>
      </w:r>
      <w:r>
        <w:t xml:space="preserve">avses </w:t>
      </w:r>
      <w:r w:rsidR="009A540D">
        <w:t xml:space="preserve">marknadsföring </w:t>
      </w:r>
      <w:r>
        <w:t xml:space="preserve">som, i motsats till produktinformation, </w:t>
      </w:r>
      <w:proofErr w:type="gramStart"/>
      <w:r>
        <w:t>t.ex.</w:t>
      </w:r>
      <w:proofErr w:type="gramEnd"/>
      <w:r>
        <w:t xml:space="preserve"> handlar om själva läkemedelsföretaget och dess verksamhet</w:t>
      </w:r>
      <w:r w:rsidR="009A540D">
        <w:t>.</w:t>
      </w:r>
      <w:r>
        <w:t xml:space="preserve"> Sådan information kan syfta till att ge en positiv bild av företaget och dess verksamhet eller forskning.</w:t>
      </w:r>
    </w:p>
    <w:p w14:paraId="56B71D7E" w14:textId="77777777" w:rsidR="00766F6F" w:rsidRDefault="00766F6F" w:rsidP="006C243D">
      <w:pPr>
        <w:tabs>
          <w:tab w:val="left" w:pos="0"/>
          <w:tab w:val="left" w:pos="398"/>
          <w:tab w:val="left" w:pos="795"/>
          <w:tab w:val="left" w:pos="4310"/>
          <w:tab w:val="left" w:pos="9922"/>
          <w:tab w:val="left" w:pos="10436"/>
        </w:tabs>
        <w:ind w:left="902"/>
        <w:jc w:val="both"/>
      </w:pPr>
    </w:p>
    <w:p w14:paraId="49F34EA7" w14:textId="77777777" w:rsidR="006C243D" w:rsidRDefault="00A0466D" w:rsidP="006C243D">
      <w:pPr>
        <w:tabs>
          <w:tab w:val="left" w:pos="0"/>
          <w:tab w:val="left" w:pos="398"/>
          <w:tab w:val="left" w:pos="795"/>
          <w:tab w:val="left" w:pos="4310"/>
          <w:tab w:val="left" w:pos="9922"/>
          <w:tab w:val="left" w:pos="10436"/>
        </w:tabs>
        <w:ind w:left="902"/>
        <w:jc w:val="both"/>
      </w:pPr>
      <w:r>
        <w:t xml:space="preserve">Informationen i det aktuella ärendet är påtagligt fokuserad på det nyligen godkända läkemedlet. </w:t>
      </w:r>
      <w:r w:rsidR="009A540D">
        <w:t xml:space="preserve">Innehållet är enligt </w:t>
      </w:r>
      <w:proofErr w:type="spellStart"/>
      <w:r w:rsidR="009A540D">
        <w:t>NBL:s</w:t>
      </w:r>
      <w:proofErr w:type="spellEnd"/>
      <w:r w:rsidR="009A540D">
        <w:t xml:space="preserve"> bedömning att anse s</w:t>
      </w:r>
      <w:r>
        <w:t xml:space="preserve">om marknadsföring av läkemedel. </w:t>
      </w:r>
    </w:p>
    <w:p w14:paraId="161D3B61" w14:textId="77777777" w:rsidR="00350609" w:rsidRDefault="00350609" w:rsidP="006C243D">
      <w:pPr>
        <w:tabs>
          <w:tab w:val="left" w:pos="0"/>
          <w:tab w:val="left" w:pos="398"/>
          <w:tab w:val="left" w:pos="795"/>
          <w:tab w:val="left" w:pos="4310"/>
          <w:tab w:val="left" w:pos="9922"/>
          <w:tab w:val="left" w:pos="10436"/>
        </w:tabs>
        <w:ind w:left="902"/>
        <w:jc w:val="both"/>
      </w:pPr>
    </w:p>
    <w:p w14:paraId="7A7BC27D" w14:textId="77777777" w:rsidR="00350609" w:rsidRPr="00350609" w:rsidRDefault="00350609" w:rsidP="006C243D">
      <w:pPr>
        <w:tabs>
          <w:tab w:val="left" w:pos="0"/>
          <w:tab w:val="left" w:pos="398"/>
          <w:tab w:val="left" w:pos="795"/>
          <w:tab w:val="left" w:pos="4310"/>
          <w:tab w:val="left" w:pos="9922"/>
          <w:tab w:val="left" w:pos="10436"/>
        </w:tabs>
        <w:ind w:left="902"/>
        <w:jc w:val="both"/>
        <w:rPr>
          <w:b/>
          <w:spacing w:val="-3"/>
        </w:rPr>
      </w:pPr>
      <w:r>
        <w:rPr>
          <w:b/>
        </w:rPr>
        <w:t>Begreppet "allmänheten"</w:t>
      </w:r>
    </w:p>
    <w:p w14:paraId="78E135D6" w14:textId="77777777" w:rsidR="005E1C54" w:rsidRDefault="005E1C54" w:rsidP="00350609">
      <w:pPr>
        <w:tabs>
          <w:tab w:val="left" w:pos="0"/>
          <w:tab w:val="left" w:pos="398"/>
          <w:tab w:val="left" w:pos="795"/>
          <w:tab w:val="left" w:pos="4310"/>
          <w:tab w:val="left" w:pos="9922"/>
          <w:tab w:val="left" w:pos="10436"/>
        </w:tabs>
        <w:jc w:val="both"/>
        <w:rPr>
          <w:spacing w:val="-3"/>
        </w:rPr>
      </w:pPr>
    </w:p>
    <w:p w14:paraId="72DB3977" w14:textId="77777777" w:rsidR="00B60291" w:rsidRDefault="00657FAB" w:rsidP="005E1C54">
      <w:pPr>
        <w:tabs>
          <w:tab w:val="left" w:pos="0"/>
          <w:tab w:val="left" w:pos="398"/>
          <w:tab w:val="left" w:pos="795"/>
          <w:tab w:val="left" w:pos="4310"/>
          <w:tab w:val="left" w:pos="9922"/>
          <w:tab w:val="left" w:pos="10436"/>
        </w:tabs>
        <w:ind w:left="902"/>
        <w:jc w:val="both"/>
        <w:rPr>
          <w:spacing w:val="-3"/>
        </w:rPr>
      </w:pPr>
      <w:r>
        <w:rPr>
          <w:spacing w:val="-3"/>
        </w:rPr>
        <w:t>När det gäller begreppet "allmänheten"</w:t>
      </w:r>
      <w:r w:rsidRPr="00657FAB">
        <w:rPr>
          <w:spacing w:val="-3"/>
        </w:rPr>
        <w:t xml:space="preserve"> </w:t>
      </w:r>
      <w:r>
        <w:rPr>
          <w:spacing w:val="-3"/>
        </w:rPr>
        <w:t xml:space="preserve">har NBL uttalat att </w:t>
      </w:r>
      <w:r w:rsidR="005E1C54">
        <w:rPr>
          <w:spacing w:val="-3"/>
        </w:rPr>
        <w:t xml:space="preserve">en </w:t>
      </w:r>
      <w:r w:rsidR="00A57855">
        <w:rPr>
          <w:spacing w:val="-3"/>
        </w:rPr>
        <w:t>krets av personer</w:t>
      </w:r>
      <w:r w:rsidR="005E1C54">
        <w:rPr>
          <w:spacing w:val="-3"/>
        </w:rPr>
        <w:t xml:space="preserve"> kan anses vara omfattad av begreppet allmänheten trots att </w:t>
      </w:r>
      <w:r w:rsidR="00766F6F">
        <w:rPr>
          <w:spacing w:val="-3"/>
        </w:rPr>
        <w:t xml:space="preserve">personerna </w:t>
      </w:r>
      <w:r w:rsidR="00A57855">
        <w:rPr>
          <w:spacing w:val="-3"/>
        </w:rPr>
        <w:t>inte utgörs av just patienter eller konsumenter av läkemedel</w:t>
      </w:r>
      <w:r w:rsidR="00766F6F">
        <w:rPr>
          <w:spacing w:val="-3"/>
        </w:rPr>
        <w:t xml:space="preserve">. Det är tillräckligt </w:t>
      </w:r>
      <w:r w:rsidR="005E1C54">
        <w:rPr>
          <w:spacing w:val="-3"/>
        </w:rPr>
        <w:t xml:space="preserve">om de som </w:t>
      </w:r>
      <w:r w:rsidR="00A57855">
        <w:rPr>
          <w:spacing w:val="-3"/>
        </w:rPr>
        <w:t>ingår i gruppen saknar förskrivningsrätt eller rätt att lämna ut läkemedel (</w:t>
      </w:r>
      <w:r w:rsidR="009A540D">
        <w:rPr>
          <w:spacing w:val="-3"/>
        </w:rPr>
        <w:t xml:space="preserve">se </w:t>
      </w:r>
      <w:r w:rsidR="00A57855">
        <w:rPr>
          <w:spacing w:val="-3"/>
        </w:rPr>
        <w:t xml:space="preserve">NBL 1016/15). </w:t>
      </w:r>
      <w:r w:rsidR="00B54F17">
        <w:rPr>
          <w:spacing w:val="-3"/>
        </w:rPr>
        <w:t xml:space="preserve">Det är därmed inte möjligt att hävda att information, som har bedömts vara kommersiell till såväl syfte som innehåll, och som har riktats mot personer som </w:t>
      </w:r>
      <w:r w:rsidR="005E1C54">
        <w:rPr>
          <w:spacing w:val="-3"/>
        </w:rPr>
        <w:t>saknar</w:t>
      </w:r>
      <w:r w:rsidR="00B54F17">
        <w:rPr>
          <w:spacing w:val="-3"/>
        </w:rPr>
        <w:t xml:space="preserve"> förskrivningsrätt eller behörighet att lämna ut läkemedel inte kan anses vara riktad mot allmänheten. </w:t>
      </w:r>
    </w:p>
    <w:p w14:paraId="5F388BA1" w14:textId="77777777" w:rsidR="00766F6F" w:rsidRDefault="00766F6F" w:rsidP="005E1C54">
      <w:pPr>
        <w:tabs>
          <w:tab w:val="left" w:pos="0"/>
          <w:tab w:val="left" w:pos="398"/>
          <w:tab w:val="left" w:pos="795"/>
          <w:tab w:val="left" w:pos="4310"/>
          <w:tab w:val="left" w:pos="9922"/>
          <w:tab w:val="left" w:pos="10436"/>
        </w:tabs>
        <w:ind w:left="902"/>
        <w:jc w:val="both"/>
        <w:rPr>
          <w:spacing w:val="-3"/>
        </w:rPr>
      </w:pPr>
    </w:p>
    <w:p w14:paraId="17519401" w14:textId="77777777" w:rsidR="00766F6F" w:rsidRDefault="00766F6F" w:rsidP="005E1C54">
      <w:pPr>
        <w:tabs>
          <w:tab w:val="left" w:pos="0"/>
          <w:tab w:val="left" w:pos="398"/>
          <w:tab w:val="left" w:pos="795"/>
          <w:tab w:val="left" w:pos="4310"/>
          <w:tab w:val="left" w:pos="9922"/>
          <w:tab w:val="left" w:pos="10436"/>
        </w:tabs>
        <w:ind w:left="902"/>
        <w:jc w:val="both"/>
        <w:rPr>
          <w:spacing w:val="-3"/>
        </w:rPr>
      </w:pPr>
      <w:r>
        <w:rPr>
          <w:spacing w:val="-3"/>
        </w:rPr>
        <w:t>I detta fall ha</w:t>
      </w:r>
      <w:r w:rsidR="00FE4917">
        <w:rPr>
          <w:spacing w:val="-3"/>
        </w:rPr>
        <w:t>r</w:t>
      </w:r>
      <w:r>
        <w:rPr>
          <w:spacing w:val="-3"/>
        </w:rPr>
        <w:t xml:space="preserve"> informationen i den meningen varit riktad mot allmänheten. </w:t>
      </w:r>
    </w:p>
    <w:p w14:paraId="2FA7AF26" w14:textId="77777777" w:rsidR="00350609" w:rsidRDefault="00350609" w:rsidP="005E1C54">
      <w:pPr>
        <w:tabs>
          <w:tab w:val="left" w:pos="0"/>
          <w:tab w:val="left" w:pos="398"/>
          <w:tab w:val="left" w:pos="795"/>
          <w:tab w:val="left" w:pos="4310"/>
          <w:tab w:val="left" w:pos="9922"/>
          <w:tab w:val="left" w:pos="10436"/>
        </w:tabs>
        <w:ind w:left="902"/>
        <w:jc w:val="both"/>
        <w:rPr>
          <w:spacing w:val="-3"/>
        </w:rPr>
      </w:pPr>
    </w:p>
    <w:p w14:paraId="4EF714E7" w14:textId="77777777" w:rsidR="005D33CA" w:rsidRDefault="005D33CA" w:rsidP="005E1C54">
      <w:pPr>
        <w:tabs>
          <w:tab w:val="left" w:pos="0"/>
          <w:tab w:val="left" w:pos="398"/>
          <w:tab w:val="left" w:pos="795"/>
          <w:tab w:val="left" w:pos="4310"/>
          <w:tab w:val="left" w:pos="9922"/>
          <w:tab w:val="left" w:pos="10436"/>
        </w:tabs>
        <w:ind w:left="902"/>
        <w:jc w:val="both"/>
        <w:rPr>
          <w:b/>
          <w:spacing w:val="-3"/>
        </w:rPr>
      </w:pPr>
    </w:p>
    <w:p w14:paraId="77E9C26C" w14:textId="77777777" w:rsidR="005D33CA" w:rsidRDefault="005D33CA" w:rsidP="005E1C54">
      <w:pPr>
        <w:tabs>
          <w:tab w:val="left" w:pos="0"/>
          <w:tab w:val="left" w:pos="398"/>
          <w:tab w:val="left" w:pos="795"/>
          <w:tab w:val="left" w:pos="4310"/>
          <w:tab w:val="left" w:pos="9922"/>
          <w:tab w:val="left" w:pos="10436"/>
        </w:tabs>
        <w:ind w:left="902"/>
        <w:jc w:val="both"/>
        <w:rPr>
          <w:b/>
          <w:spacing w:val="-3"/>
        </w:rPr>
      </w:pPr>
    </w:p>
    <w:p w14:paraId="5DD4A7A3" w14:textId="77777777" w:rsidR="00350609" w:rsidRPr="00350609" w:rsidRDefault="00350609" w:rsidP="005E1C54">
      <w:pPr>
        <w:tabs>
          <w:tab w:val="left" w:pos="0"/>
          <w:tab w:val="left" w:pos="398"/>
          <w:tab w:val="left" w:pos="795"/>
          <w:tab w:val="left" w:pos="4310"/>
          <w:tab w:val="left" w:pos="9922"/>
          <w:tab w:val="left" w:pos="10436"/>
        </w:tabs>
        <w:ind w:left="902"/>
        <w:jc w:val="both"/>
        <w:rPr>
          <w:b/>
          <w:spacing w:val="-3"/>
        </w:rPr>
      </w:pPr>
      <w:r w:rsidRPr="00350609">
        <w:rPr>
          <w:b/>
          <w:spacing w:val="-3"/>
        </w:rPr>
        <w:lastRenderedPageBreak/>
        <w:t>Den svenska marknaden</w:t>
      </w:r>
    </w:p>
    <w:p w14:paraId="4230028A" w14:textId="77777777" w:rsidR="004F7F2A" w:rsidRDefault="004F7F2A" w:rsidP="00757AA1">
      <w:pPr>
        <w:tabs>
          <w:tab w:val="left" w:pos="0"/>
          <w:tab w:val="left" w:pos="398"/>
          <w:tab w:val="left" w:pos="795"/>
          <w:tab w:val="left" w:pos="4310"/>
          <w:tab w:val="left" w:pos="9922"/>
          <w:tab w:val="left" w:pos="10436"/>
        </w:tabs>
        <w:ind w:left="902"/>
        <w:jc w:val="both"/>
        <w:rPr>
          <w:spacing w:val="-3"/>
        </w:rPr>
      </w:pPr>
    </w:p>
    <w:p w14:paraId="46DE384E" w14:textId="77777777" w:rsidR="007576C9" w:rsidRDefault="00350609" w:rsidP="00350609">
      <w:pPr>
        <w:tabs>
          <w:tab w:val="left" w:pos="0"/>
          <w:tab w:val="left" w:pos="398"/>
          <w:tab w:val="left" w:pos="795"/>
          <w:tab w:val="left" w:pos="4310"/>
          <w:tab w:val="left" w:pos="9922"/>
          <w:tab w:val="left" w:pos="10436"/>
        </w:tabs>
        <w:ind w:left="902"/>
        <w:jc w:val="both"/>
        <w:rPr>
          <w:spacing w:val="-3"/>
        </w:rPr>
      </w:pPr>
      <w:r>
        <w:rPr>
          <w:spacing w:val="-3"/>
        </w:rPr>
        <w:t xml:space="preserve">Novartis har ifrågasatt om åtgärden har riktat sig mot den svenska marknaden med tanke på att endast cirka 15 </w:t>
      </w:r>
      <w:r w:rsidR="00766F6F">
        <w:rPr>
          <w:spacing w:val="-3"/>
        </w:rPr>
        <w:t>procent</w:t>
      </w:r>
      <w:r>
        <w:rPr>
          <w:spacing w:val="-3"/>
        </w:rPr>
        <w:t xml:space="preserve"> av kontakterna på det aktuella LinkedIn-kontot varit svenska kontakter. Nämndens behörighet liksom informationsreglernas tillämplighet i geografiskt hänseende är begränsad till åtgärder som kan anses ingå som ett led i marknadsföring på den svenska marknaden. </w:t>
      </w:r>
      <w:r w:rsidR="00FE315D">
        <w:rPr>
          <w:spacing w:val="-3"/>
        </w:rPr>
        <w:t xml:space="preserve">Vilket </w:t>
      </w:r>
      <w:proofErr w:type="gramStart"/>
      <w:r w:rsidR="00FE315D">
        <w:rPr>
          <w:spacing w:val="-3"/>
        </w:rPr>
        <w:t>språk läkemedelsinformation</w:t>
      </w:r>
      <w:proofErr w:type="gramEnd"/>
      <w:r w:rsidR="00FE315D">
        <w:rPr>
          <w:spacing w:val="-3"/>
        </w:rPr>
        <w:t xml:space="preserve"> är avfattad på är en av flera faktorer som kan ha betydelse vid bedömningen av vilken marknad informationen är riktad mot. </w:t>
      </w:r>
      <w:r w:rsidR="007576C9">
        <w:rPr>
          <w:spacing w:val="-3"/>
        </w:rPr>
        <w:t xml:space="preserve">Att </w:t>
      </w:r>
      <w:r>
        <w:rPr>
          <w:spacing w:val="-3"/>
        </w:rPr>
        <w:t xml:space="preserve">informationen </w:t>
      </w:r>
      <w:r w:rsidR="00766F6F">
        <w:rPr>
          <w:spacing w:val="-3"/>
        </w:rPr>
        <w:t xml:space="preserve">och pressmeddelandet </w:t>
      </w:r>
      <w:r w:rsidR="00FE315D">
        <w:rPr>
          <w:spacing w:val="-3"/>
        </w:rPr>
        <w:t xml:space="preserve">i det aktuella fallet är </w:t>
      </w:r>
      <w:r w:rsidR="00ED65EC">
        <w:rPr>
          <w:spacing w:val="-3"/>
        </w:rPr>
        <w:t>avfattat</w:t>
      </w:r>
      <w:r>
        <w:rPr>
          <w:spacing w:val="-3"/>
        </w:rPr>
        <w:t xml:space="preserve"> på engelska</w:t>
      </w:r>
      <w:r w:rsidR="007576C9">
        <w:rPr>
          <w:spacing w:val="-3"/>
        </w:rPr>
        <w:t xml:space="preserve"> </w:t>
      </w:r>
      <w:r w:rsidR="00F93057">
        <w:rPr>
          <w:spacing w:val="-3"/>
        </w:rPr>
        <w:t xml:space="preserve">är </w:t>
      </w:r>
      <w:r w:rsidR="00FE315D">
        <w:rPr>
          <w:spacing w:val="-3"/>
        </w:rPr>
        <w:t>dock inte något som avgör frågan om huruvida dessa ska anses ha varit riktad mot den svenska marknaden.</w:t>
      </w:r>
      <w:r w:rsidR="007576C9">
        <w:rPr>
          <w:spacing w:val="-3"/>
        </w:rPr>
        <w:t xml:space="preserve"> </w:t>
      </w:r>
    </w:p>
    <w:p w14:paraId="5622EFD0" w14:textId="77777777" w:rsidR="007576C9" w:rsidRDefault="007576C9" w:rsidP="00350609">
      <w:pPr>
        <w:tabs>
          <w:tab w:val="left" w:pos="0"/>
          <w:tab w:val="left" w:pos="398"/>
          <w:tab w:val="left" w:pos="795"/>
          <w:tab w:val="left" w:pos="4310"/>
          <w:tab w:val="left" w:pos="9922"/>
          <w:tab w:val="left" w:pos="10436"/>
        </w:tabs>
        <w:ind w:left="902"/>
        <w:jc w:val="both"/>
        <w:rPr>
          <w:spacing w:val="-3"/>
        </w:rPr>
      </w:pPr>
    </w:p>
    <w:p w14:paraId="1556D27C" w14:textId="77777777" w:rsidR="007576C9" w:rsidRDefault="00350609" w:rsidP="00350609">
      <w:pPr>
        <w:tabs>
          <w:tab w:val="left" w:pos="0"/>
          <w:tab w:val="left" w:pos="398"/>
          <w:tab w:val="left" w:pos="795"/>
          <w:tab w:val="left" w:pos="4310"/>
          <w:tab w:val="left" w:pos="9922"/>
          <w:tab w:val="left" w:pos="10436"/>
        </w:tabs>
        <w:ind w:left="902"/>
        <w:jc w:val="both"/>
        <w:rPr>
          <w:spacing w:val="-3"/>
        </w:rPr>
      </w:pPr>
      <w:r>
        <w:rPr>
          <w:spacing w:val="-3"/>
        </w:rPr>
        <w:t>Informationen rör ett EU-godkännande av ett läkemedel</w:t>
      </w:r>
      <w:r w:rsidR="007576C9">
        <w:rPr>
          <w:spacing w:val="-3"/>
        </w:rPr>
        <w:t>. I</w:t>
      </w:r>
      <w:r>
        <w:rPr>
          <w:spacing w:val="-3"/>
        </w:rPr>
        <w:t xml:space="preserve">nformationen berör </w:t>
      </w:r>
      <w:r w:rsidR="007576C9">
        <w:rPr>
          <w:spacing w:val="-3"/>
        </w:rPr>
        <w:t xml:space="preserve">därmed </w:t>
      </w:r>
      <w:r>
        <w:rPr>
          <w:spacing w:val="-3"/>
        </w:rPr>
        <w:t xml:space="preserve">den svenska marknaden </w:t>
      </w:r>
      <w:r w:rsidR="007576C9">
        <w:rPr>
          <w:spacing w:val="-3"/>
        </w:rPr>
        <w:t xml:space="preserve">eftersom </w:t>
      </w:r>
      <w:r>
        <w:rPr>
          <w:spacing w:val="-3"/>
        </w:rPr>
        <w:t xml:space="preserve">läkemedlet därmed </w:t>
      </w:r>
      <w:r w:rsidR="007576C9">
        <w:rPr>
          <w:spacing w:val="-3"/>
        </w:rPr>
        <w:t xml:space="preserve">är godkänt </w:t>
      </w:r>
      <w:r>
        <w:rPr>
          <w:spacing w:val="-3"/>
        </w:rPr>
        <w:t xml:space="preserve">för marknadsföring </w:t>
      </w:r>
      <w:r w:rsidR="007576C9">
        <w:rPr>
          <w:spacing w:val="-3"/>
        </w:rPr>
        <w:t xml:space="preserve">här. </w:t>
      </w:r>
    </w:p>
    <w:p w14:paraId="3ED5A34F" w14:textId="77777777" w:rsidR="007576C9" w:rsidRDefault="007576C9" w:rsidP="00350609">
      <w:pPr>
        <w:tabs>
          <w:tab w:val="left" w:pos="0"/>
          <w:tab w:val="left" w:pos="398"/>
          <w:tab w:val="left" w:pos="795"/>
          <w:tab w:val="left" w:pos="4310"/>
          <w:tab w:val="left" w:pos="9922"/>
          <w:tab w:val="left" w:pos="10436"/>
        </w:tabs>
        <w:ind w:left="902"/>
        <w:jc w:val="both"/>
        <w:rPr>
          <w:spacing w:val="-3"/>
        </w:rPr>
      </w:pPr>
    </w:p>
    <w:p w14:paraId="24E6D362" w14:textId="77777777" w:rsidR="007576C9" w:rsidRDefault="00350609" w:rsidP="00350609">
      <w:pPr>
        <w:tabs>
          <w:tab w:val="left" w:pos="0"/>
          <w:tab w:val="left" w:pos="398"/>
          <w:tab w:val="left" w:pos="795"/>
          <w:tab w:val="left" w:pos="4310"/>
          <w:tab w:val="left" w:pos="9922"/>
          <w:tab w:val="left" w:pos="10436"/>
        </w:tabs>
        <w:ind w:left="902"/>
        <w:jc w:val="both"/>
        <w:rPr>
          <w:spacing w:val="-3"/>
        </w:rPr>
      </w:pPr>
      <w:r>
        <w:rPr>
          <w:spacing w:val="-3"/>
        </w:rPr>
        <w:t>V</w:t>
      </w:r>
      <w:r w:rsidR="009A540D">
        <w:rPr>
          <w:spacing w:val="-3"/>
        </w:rPr>
        <w:t>idare är v</w:t>
      </w:r>
      <w:r>
        <w:rPr>
          <w:spacing w:val="-3"/>
        </w:rPr>
        <w:t xml:space="preserve">arunamnet </w:t>
      </w:r>
      <w:proofErr w:type="spellStart"/>
      <w:r>
        <w:rPr>
          <w:spacing w:val="-3"/>
        </w:rPr>
        <w:t>Aimovig</w:t>
      </w:r>
      <w:proofErr w:type="spellEnd"/>
      <w:r>
        <w:t xml:space="preserve"> samma namn som används på den svenska marknaden.</w:t>
      </w:r>
      <w:r>
        <w:rPr>
          <w:spacing w:val="-3"/>
        </w:rPr>
        <w:t xml:space="preserve"> </w:t>
      </w:r>
      <w:r w:rsidR="006708CC">
        <w:rPr>
          <w:spacing w:val="-3"/>
        </w:rPr>
        <w:t xml:space="preserve">Informationen har spridits genom den svenska </w:t>
      </w:r>
      <w:r>
        <w:rPr>
          <w:spacing w:val="-3"/>
        </w:rPr>
        <w:t xml:space="preserve">Marketaccess-medarbetaren. Det </w:t>
      </w:r>
      <w:r w:rsidR="007576C9">
        <w:rPr>
          <w:spacing w:val="-3"/>
        </w:rPr>
        <w:t xml:space="preserve">framgår vidare </w:t>
      </w:r>
      <w:r>
        <w:rPr>
          <w:spacing w:val="-3"/>
        </w:rPr>
        <w:t xml:space="preserve">att det funnits svenskar bland mottagarkretsen på LinkedIn-kontot. </w:t>
      </w:r>
    </w:p>
    <w:p w14:paraId="46482D98" w14:textId="77777777" w:rsidR="007576C9" w:rsidRDefault="007576C9" w:rsidP="00350609">
      <w:pPr>
        <w:tabs>
          <w:tab w:val="left" w:pos="0"/>
          <w:tab w:val="left" w:pos="398"/>
          <w:tab w:val="left" w:pos="795"/>
          <w:tab w:val="left" w:pos="4310"/>
          <w:tab w:val="left" w:pos="9922"/>
          <w:tab w:val="left" w:pos="10436"/>
        </w:tabs>
        <w:ind w:left="902"/>
        <w:jc w:val="both"/>
        <w:rPr>
          <w:spacing w:val="-3"/>
        </w:rPr>
      </w:pPr>
    </w:p>
    <w:p w14:paraId="5A09F5A3" w14:textId="77777777" w:rsidR="00350609" w:rsidRDefault="007576C9" w:rsidP="00350609">
      <w:pPr>
        <w:tabs>
          <w:tab w:val="left" w:pos="0"/>
          <w:tab w:val="left" w:pos="398"/>
          <w:tab w:val="left" w:pos="795"/>
          <w:tab w:val="left" w:pos="4310"/>
          <w:tab w:val="left" w:pos="9922"/>
          <w:tab w:val="left" w:pos="10436"/>
        </w:tabs>
        <w:ind w:left="902"/>
        <w:jc w:val="both"/>
        <w:rPr>
          <w:spacing w:val="-3"/>
        </w:rPr>
      </w:pPr>
      <w:r>
        <w:rPr>
          <w:spacing w:val="-3"/>
        </w:rPr>
        <w:t>Å</w:t>
      </w:r>
      <w:r w:rsidR="00350609">
        <w:rPr>
          <w:spacing w:val="-3"/>
        </w:rPr>
        <w:t xml:space="preserve">tgärden </w:t>
      </w:r>
      <w:r>
        <w:rPr>
          <w:spacing w:val="-3"/>
        </w:rPr>
        <w:t xml:space="preserve">får därmed </w:t>
      </w:r>
      <w:r w:rsidR="00350609">
        <w:rPr>
          <w:spacing w:val="-3"/>
        </w:rPr>
        <w:t xml:space="preserve">anses </w:t>
      </w:r>
      <w:r w:rsidR="006708CC">
        <w:rPr>
          <w:spacing w:val="-3"/>
        </w:rPr>
        <w:t xml:space="preserve">ha varit </w:t>
      </w:r>
      <w:r w:rsidR="00350609">
        <w:rPr>
          <w:spacing w:val="-3"/>
        </w:rPr>
        <w:t>riktad mot den svenska marknaden.</w:t>
      </w:r>
    </w:p>
    <w:p w14:paraId="4B214AC0" w14:textId="77777777" w:rsidR="00350609" w:rsidRDefault="00350609" w:rsidP="00F1012B">
      <w:pPr>
        <w:tabs>
          <w:tab w:val="left" w:pos="0"/>
          <w:tab w:val="left" w:pos="398"/>
          <w:tab w:val="left" w:pos="795"/>
          <w:tab w:val="left" w:pos="4310"/>
          <w:tab w:val="left" w:pos="9922"/>
          <w:tab w:val="left" w:pos="10436"/>
        </w:tabs>
        <w:ind w:left="902"/>
        <w:jc w:val="both"/>
        <w:rPr>
          <w:spacing w:val="-3"/>
        </w:rPr>
      </w:pPr>
    </w:p>
    <w:p w14:paraId="573D8E1A" w14:textId="77777777" w:rsidR="00350609" w:rsidRDefault="00350609" w:rsidP="00F1012B">
      <w:pPr>
        <w:tabs>
          <w:tab w:val="left" w:pos="0"/>
          <w:tab w:val="left" w:pos="398"/>
          <w:tab w:val="left" w:pos="795"/>
          <w:tab w:val="left" w:pos="4310"/>
          <w:tab w:val="left" w:pos="9922"/>
          <w:tab w:val="left" w:pos="10436"/>
        </w:tabs>
        <w:ind w:left="902"/>
        <w:jc w:val="both"/>
        <w:rPr>
          <w:b/>
          <w:spacing w:val="-3"/>
        </w:rPr>
      </w:pPr>
      <w:r>
        <w:rPr>
          <w:b/>
          <w:spacing w:val="-3"/>
        </w:rPr>
        <w:t>Marknadsföring av receptbelagt läkemedel gentemot allmänheten</w:t>
      </w:r>
    </w:p>
    <w:p w14:paraId="6F8159ED" w14:textId="77777777" w:rsidR="00350609" w:rsidRDefault="00350609" w:rsidP="00F1012B">
      <w:pPr>
        <w:tabs>
          <w:tab w:val="left" w:pos="0"/>
          <w:tab w:val="left" w:pos="398"/>
          <w:tab w:val="left" w:pos="795"/>
          <w:tab w:val="left" w:pos="4310"/>
          <w:tab w:val="left" w:pos="9922"/>
          <w:tab w:val="left" w:pos="10436"/>
        </w:tabs>
        <w:ind w:left="902"/>
        <w:jc w:val="both"/>
        <w:rPr>
          <w:b/>
          <w:spacing w:val="-3"/>
        </w:rPr>
      </w:pPr>
    </w:p>
    <w:p w14:paraId="5063DB2C" w14:textId="77777777" w:rsidR="00ED65EC" w:rsidRDefault="00ED65EC" w:rsidP="00F1012B">
      <w:pPr>
        <w:tabs>
          <w:tab w:val="left" w:pos="0"/>
          <w:tab w:val="left" w:pos="398"/>
          <w:tab w:val="left" w:pos="795"/>
          <w:tab w:val="left" w:pos="4310"/>
          <w:tab w:val="left" w:pos="9922"/>
          <w:tab w:val="left" w:pos="10436"/>
        </w:tabs>
        <w:ind w:left="902"/>
        <w:jc w:val="both"/>
        <w:rPr>
          <w:spacing w:val="-3"/>
        </w:rPr>
      </w:pPr>
      <w:r>
        <w:rPr>
          <w:spacing w:val="-3"/>
        </w:rPr>
        <w:t xml:space="preserve">Läkemedlet </w:t>
      </w:r>
      <w:proofErr w:type="spellStart"/>
      <w:r>
        <w:rPr>
          <w:spacing w:val="-3"/>
        </w:rPr>
        <w:t>Aimovig</w:t>
      </w:r>
      <w:proofErr w:type="spellEnd"/>
      <w:r>
        <w:rPr>
          <w:spacing w:val="-3"/>
        </w:rPr>
        <w:t xml:space="preserve"> är receptbelagt och får </w:t>
      </w:r>
      <w:r w:rsidR="007576C9">
        <w:rPr>
          <w:spacing w:val="-3"/>
        </w:rPr>
        <w:t xml:space="preserve">alltså </w:t>
      </w:r>
      <w:r>
        <w:rPr>
          <w:spacing w:val="-3"/>
        </w:rPr>
        <w:t xml:space="preserve">inte marknadsföras gentemot allmänheten. </w:t>
      </w:r>
    </w:p>
    <w:p w14:paraId="21DC0D6A" w14:textId="77777777" w:rsidR="00ED65EC" w:rsidRPr="00ED65EC" w:rsidRDefault="00ED65EC" w:rsidP="00F1012B">
      <w:pPr>
        <w:tabs>
          <w:tab w:val="left" w:pos="0"/>
          <w:tab w:val="left" w:pos="398"/>
          <w:tab w:val="left" w:pos="795"/>
          <w:tab w:val="left" w:pos="4310"/>
          <w:tab w:val="left" w:pos="9922"/>
          <w:tab w:val="left" w:pos="10436"/>
        </w:tabs>
        <w:ind w:left="902"/>
        <w:jc w:val="both"/>
        <w:rPr>
          <w:spacing w:val="-3"/>
        </w:rPr>
      </w:pPr>
    </w:p>
    <w:p w14:paraId="11FB5A9A" w14:textId="77777777" w:rsidR="00350609" w:rsidRPr="00350609" w:rsidRDefault="001F2359" w:rsidP="00F1012B">
      <w:pPr>
        <w:tabs>
          <w:tab w:val="left" w:pos="0"/>
          <w:tab w:val="left" w:pos="398"/>
          <w:tab w:val="left" w:pos="795"/>
          <w:tab w:val="left" w:pos="4310"/>
          <w:tab w:val="left" w:pos="9922"/>
          <w:tab w:val="left" w:pos="10436"/>
        </w:tabs>
        <w:ind w:left="902"/>
        <w:jc w:val="both"/>
        <w:rPr>
          <w:b/>
          <w:spacing w:val="-3"/>
        </w:rPr>
      </w:pPr>
      <w:r>
        <w:rPr>
          <w:b/>
          <w:spacing w:val="-3"/>
        </w:rPr>
        <w:t xml:space="preserve">Svarar Novartis för inlägget på </w:t>
      </w:r>
      <w:r w:rsidR="0095040F">
        <w:rPr>
          <w:b/>
          <w:spacing w:val="-3"/>
        </w:rPr>
        <w:t xml:space="preserve">det privata </w:t>
      </w:r>
      <w:r>
        <w:rPr>
          <w:b/>
          <w:spacing w:val="-3"/>
        </w:rPr>
        <w:t>LinkedIn</w:t>
      </w:r>
      <w:r w:rsidR="0095040F">
        <w:rPr>
          <w:b/>
          <w:spacing w:val="-3"/>
        </w:rPr>
        <w:t>-kontot</w:t>
      </w:r>
      <w:r>
        <w:rPr>
          <w:b/>
          <w:spacing w:val="-3"/>
        </w:rPr>
        <w:t>?</w:t>
      </w:r>
    </w:p>
    <w:p w14:paraId="72CF772C" w14:textId="77777777" w:rsidR="00350609" w:rsidRDefault="00350609" w:rsidP="00F1012B">
      <w:pPr>
        <w:tabs>
          <w:tab w:val="left" w:pos="0"/>
          <w:tab w:val="left" w:pos="398"/>
          <w:tab w:val="left" w:pos="795"/>
          <w:tab w:val="left" w:pos="4310"/>
          <w:tab w:val="left" w:pos="9922"/>
          <w:tab w:val="left" w:pos="10436"/>
        </w:tabs>
        <w:ind w:left="902"/>
        <w:jc w:val="both"/>
        <w:rPr>
          <w:spacing w:val="-3"/>
        </w:rPr>
      </w:pPr>
    </w:p>
    <w:p w14:paraId="1C1BB9CA" w14:textId="77777777" w:rsidR="001F2359" w:rsidRDefault="00F1012B" w:rsidP="00F1012B">
      <w:pPr>
        <w:tabs>
          <w:tab w:val="left" w:pos="0"/>
          <w:tab w:val="left" w:pos="398"/>
          <w:tab w:val="left" w:pos="795"/>
          <w:tab w:val="left" w:pos="4310"/>
          <w:tab w:val="left" w:pos="9922"/>
          <w:tab w:val="left" w:pos="10436"/>
        </w:tabs>
        <w:ind w:left="902"/>
        <w:jc w:val="both"/>
        <w:rPr>
          <w:spacing w:val="-3"/>
        </w:rPr>
      </w:pPr>
      <w:r>
        <w:rPr>
          <w:spacing w:val="-3"/>
        </w:rPr>
        <w:t>L</w:t>
      </w:r>
      <w:r w:rsidRPr="00D423D6">
        <w:rPr>
          <w:spacing w:val="-3"/>
        </w:rPr>
        <w:t>äkemedelsföretag</w:t>
      </w:r>
      <w:r>
        <w:rPr>
          <w:spacing w:val="-3"/>
        </w:rPr>
        <w:t>en</w:t>
      </w:r>
      <w:r w:rsidRPr="00D423D6">
        <w:rPr>
          <w:spacing w:val="-3"/>
        </w:rPr>
        <w:t xml:space="preserve"> ansvar</w:t>
      </w:r>
      <w:r w:rsidR="007576C9">
        <w:rPr>
          <w:spacing w:val="-3"/>
        </w:rPr>
        <w:t>ar</w:t>
      </w:r>
      <w:r w:rsidRPr="00D423D6">
        <w:rPr>
          <w:spacing w:val="-3"/>
        </w:rPr>
        <w:t xml:space="preserve"> för informationsåtgärder i strid med LER som dess anställda vidtar i tjänsten. </w:t>
      </w:r>
      <w:r>
        <w:rPr>
          <w:spacing w:val="-3"/>
        </w:rPr>
        <w:t xml:space="preserve">Vad som räknas som en åtgärd vidtagen i tjänsten får tolkas utifrån omständigheterna i det enskilda fallet. </w:t>
      </w:r>
    </w:p>
    <w:p w14:paraId="6EB335F3" w14:textId="77777777" w:rsidR="001F2359" w:rsidRDefault="001F2359" w:rsidP="00F1012B">
      <w:pPr>
        <w:tabs>
          <w:tab w:val="left" w:pos="0"/>
          <w:tab w:val="left" w:pos="398"/>
          <w:tab w:val="left" w:pos="795"/>
          <w:tab w:val="left" w:pos="4310"/>
          <w:tab w:val="left" w:pos="9922"/>
          <w:tab w:val="left" w:pos="10436"/>
        </w:tabs>
        <w:ind w:left="902"/>
        <w:jc w:val="both"/>
        <w:rPr>
          <w:spacing w:val="-3"/>
        </w:rPr>
      </w:pPr>
    </w:p>
    <w:p w14:paraId="6C2994A0" w14:textId="77777777" w:rsidR="005654F0" w:rsidRDefault="00F1012B" w:rsidP="00F1012B">
      <w:pPr>
        <w:tabs>
          <w:tab w:val="left" w:pos="0"/>
          <w:tab w:val="left" w:pos="398"/>
          <w:tab w:val="left" w:pos="795"/>
          <w:tab w:val="left" w:pos="4310"/>
          <w:tab w:val="left" w:pos="9922"/>
          <w:tab w:val="left" w:pos="10436"/>
        </w:tabs>
        <w:ind w:left="902"/>
        <w:jc w:val="both"/>
        <w:rPr>
          <w:spacing w:val="-3"/>
        </w:rPr>
      </w:pPr>
      <w:r w:rsidRPr="00D423D6">
        <w:rPr>
          <w:spacing w:val="-3"/>
        </w:rPr>
        <w:t xml:space="preserve">Den aktuella informationen </w:t>
      </w:r>
      <w:r w:rsidR="00AF33CF">
        <w:rPr>
          <w:spacing w:val="-3"/>
        </w:rPr>
        <w:t>på LinkedI</w:t>
      </w:r>
      <w:r w:rsidRPr="00D423D6">
        <w:rPr>
          <w:spacing w:val="-3"/>
        </w:rPr>
        <w:t xml:space="preserve">n-kontot </w:t>
      </w:r>
      <w:r w:rsidR="007576C9">
        <w:rPr>
          <w:spacing w:val="-3"/>
        </w:rPr>
        <w:t xml:space="preserve">är inte ett inlägg av </w:t>
      </w:r>
      <w:r w:rsidR="0095040F">
        <w:rPr>
          <w:spacing w:val="-3"/>
        </w:rPr>
        <w:t xml:space="preserve">enbart </w:t>
      </w:r>
      <w:r w:rsidR="007576C9">
        <w:rPr>
          <w:spacing w:val="-3"/>
        </w:rPr>
        <w:t>privat natur</w:t>
      </w:r>
      <w:r w:rsidR="0095040F">
        <w:rPr>
          <w:spacing w:val="-3"/>
        </w:rPr>
        <w:t xml:space="preserve">. Inlägget </w:t>
      </w:r>
      <w:r w:rsidRPr="00D423D6">
        <w:rPr>
          <w:spacing w:val="-3"/>
        </w:rPr>
        <w:t xml:space="preserve">rör </w:t>
      </w:r>
      <w:r w:rsidR="0095040F">
        <w:rPr>
          <w:spacing w:val="-3"/>
        </w:rPr>
        <w:t xml:space="preserve">också </w:t>
      </w:r>
      <w:r w:rsidRPr="00D423D6">
        <w:rPr>
          <w:spacing w:val="-3"/>
        </w:rPr>
        <w:t>Novartis angelägenheter</w:t>
      </w:r>
      <w:r w:rsidR="00307EAE">
        <w:rPr>
          <w:spacing w:val="-3"/>
        </w:rPr>
        <w:t>.</w:t>
      </w:r>
    </w:p>
    <w:p w14:paraId="1237A6F4" w14:textId="77777777" w:rsidR="005654F0" w:rsidRDefault="005654F0" w:rsidP="00F1012B">
      <w:pPr>
        <w:tabs>
          <w:tab w:val="left" w:pos="0"/>
          <w:tab w:val="left" w:pos="398"/>
          <w:tab w:val="left" w:pos="795"/>
          <w:tab w:val="left" w:pos="4310"/>
          <w:tab w:val="left" w:pos="9922"/>
          <w:tab w:val="left" w:pos="10436"/>
        </w:tabs>
        <w:ind w:left="902"/>
        <w:jc w:val="both"/>
        <w:rPr>
          <w:spacing w:val="-3"/>
        </w:rPr>
      </w:pPr>
    </w:p>
    <w:p w14:paraId="7C0C969C" w14:textId="77777777" w:rsidR="00F1012B" w:rsidRDefault="00F1012B" w:rsidP="00F1012B">
      <w:pPr>
        <w:tabs>
          <w:tab w:val="left" w:pos="0"/>
          <w:tab w:val="left" w:pos="398"/>
          <w:tab w:val="left" w:pos="795"/>
          <w:tab w:val="left" w:pos="4310"/>
          <w:tab w:val="left" w:pos="9922"/>
          <w:tab w:val="left" w:pos="10436"/>
        </w:tabs>
        <w:ind w:left="902"/>
        <w:jc w:val="both"/>
        <w:rPr>
          <w:spacing w:val="-3"/>
        </w:rPr>
      </w:pPr>
      <w:r>
        <w:rPr>
          <w:spacing w:val="-3"/>
        </w:rPr>
        <w:t xml:space="preserve">Novartis </w:t>
      </w:r>
      <w:r w:rsidR="005654F0">
        <w:rPr>
          <w:spacing w:val="-3"/>
        </w:rPr>
        <w:t xml:space="preserve">får därmed </w:t>
      </w:r>
      <w:r>
        <w:rPr>
          <w:spacing w:val="-3"/>
        </w:rPr>
        <w:t xml:space="preserve">anses ha varit avsändare av informationen. </w:t>
      </w:r>
    </w:p>
    <w:p w14:paraId="09FAD2D0" w14:textId="77777777" w:rsidR="005654F0" w:rsidRDefault="005654F0" w:rsidP="00F1012B">
      <w:pPr>
        <w:tabs>
          <w:tab w:val="left" w:pos="0"/>
          <w:tab w:val="left" w:pos="398"/>
          <w:tab w:val="left" w:pos="795"/>
          <w:tab w:val="left" w:pos="4310"/>
          <w:tab w:val="left" w:pos="9922"/>
          <w:tab w:val="left" w:pos="10436"/>
        </w:tabs>
        <w:ind w:left="902"/>
        <w:jc w:val="both"/>
        <w:rPr>
          <w:spacing w:val="-3"/>
        </w:rPr>
      </w:pPr>
    </w:p>
    <w:p w14:paraId="76763E04" w14:textId="77777777" w:rsidR="005654F0" w:rsidRPr="00B25EFF" w:rsidRDefault="005654F0" w:rsidP="00F1012B">
      <w:pPr>
        <w:tabs>
          <w:tab w:val="left" w:pos="0"/>
          <w:tab w:val="left" w:pos="398"/>
          <w:tab w:val="left" w:pos="795"/>
          <w:tab w:val="left" w:pos="4310"/>
          <w:tab w:val="left" w:pos="9922"/>
          <w:tab w:val="left" w:pos="10436"/>
        </w:tabs>
        <w:ind w:left="902"/>
        <w:jc w:val="both"/>
        <w:rPr>
          <w:b/>
          <w:spacing w:val="-3"/>
        </w:rPr>
      </w:pPr>
      <w:r w:rsidRPr="00B25EFF">
        <w:rPr>
          <w:b/>
          <w:spacing w:val="-3"/>
        </w:rPr>
        <w:t>Slutsats</w:t>
      </w:r>
    </w:p>
    <w:p w14:paraId="31361218" w14:textId="77777777" w:rsidR="00ED65EC" w:rsidRDefault="00ED65EC" w:rsidP="00F1012B">
      <w:pPr>
        <w:tabs>
          <w:tab w:val="left" w:pos="0"/>
          <w:tab w:val="left" w:pos="398"/>
          <w:tab w:val="left" w:pos="795"/>
          <w:tab w:val="left" w:pos="4310"/>
          <w:tab w:val="left" w:pos="9922"/>
          <w:tab w:val="left" w:pos="10436"/>
        </w:tabs>
        <w:ind w:left="902"/>
        <w:jc w:val="both"/>
        <w:rPr>
          <w:spacing w:val="-3"/>
        </w:rPr>
      </w:pPr>
    </w:p>
    <w:p w14:paraId="0260F944" w14:textId="77777777" w:rsidR="00E5071E" w:rsidRPr="00B25EFF" w:rsidRDefault="000C61F4" w:rsidP="005654F0">
      <w:pPr>
        <w:tabs>
          <w:tab w:val="left" w:pos="0"/>
          <w:tab w:val="left" w:pos="398"/>
          <w:tab w:val="left" w:pos="795"/>
          <w:tab w:val="left" w:pos="4310"/>
          <w:tab w:val="left" w:pos="9922"/>
          <w:tab w:val="left" w:pos="10436"/>
        </w:tabs>
        <w:ind w:left="902"/>
        <w:jc w:val="both"/>
      </w:pPr>
      <w:r>
        <w:rPr>
          <w:spacing w:val="-3"/>
        </w:rPr>
        <w:t xml:space="preserve">I ärendet har </w:t>
      </w:r>
      <w:r w:rsidR="005654F0">
        <w:rPr>
          <w:spacing w:val="-3"/>
        </w:rPr>
        <w:t xml:space="preserve">NBL funnit att </w:t>
      </w:r>
      <w:r>
        <w:rPr>
          <w:spacing w:val="-3"/>
        </w:rPr>
        <w:t xml:space="preserve">den anmälda publiceringen </w:t>
      </w:r>
      <w:r w:rsidR="005654F0">
        <w:rPr>
          <w:spacing w:val="-3"/>
        </w:rPr>
        <w:t xml:space="preserve">på LinkedIn </w:t>
      </w:r>
      <w:r>
        <w:rPr>
          <w:spacing w:val="-3"/>
        </w:rPr>
        <w:t xml:space="preserve">utgör marknadsföring från Novartis av receptbelagt läkemedel riktad mot allmänheten på den svenska marknaden. Nämnden </w:t>
      </w:r>
      <w:r w:rsidR="005654F0">
        <w:rPr>
          <w:spacing w:val="-3"/>
        </w:rPr>
        <w:t xml:space="preserve">kommer </w:t>
      </w:r>
      <w:r>
        <w:rPr>
          <w:spacing w:val="-3"/>
        </w:rPr>
        <w:t xml:space="preserve">således </w:t>
      </w:r>
      <w:r w:rsidR="005654F0">
        <w:rPr>
          <w:spacing w:val="-3"/>
        </w:rPr>
        <w:t xml:space="preserve">till samma slutsats som </w:t>
      </w:r>
      <w:r w:rsidR="0021644E">
        <w:t>IG</w:t>
      </w:r>
      <w:r w:rsidR="00734C0F">
        <w:t>N</w:t>
      </w:r>
      <w:r w:rsidR="005654F0">
        <w:t>, vars</w:t>
      </w:r>
      <w:r w:rsidR="0021644E">
        <w:t xml:space="preserve"> </w:t>
      </w:r>
      <w:r w:rsidR="00C16DED">
        <w:rPr>
          <w:spacing w:val="-3"/>
        </w:rPr>
        <w:t>beslut</w:t>
      </w:r>
      <w:r w:rsidR="005654F0">
        <w:rPr>
          <w:spacing w:val="-3"/>
        </w:rPr>
        <w:t xml:space="preserve"> därför </w:t>
      </w:r>
      <w:r w:rsidR="00C16DED">
        <w:rPr>
          <w:spacing w:val="-3"/>
        </w:rPr>
        <w:t>ska</w:t>
      </w:r>
      <w:r w:rsidR="00E5071E">
        <w:rPr>
          <w:spacing w:val="-3"/>
        </w:rPr>
        <w:t xml:space="preserve"> fastställas.</w:t>
      </w:r>
    </w:p>
    <w:p w14:paraId="5D47514F" w14:textId="77777777" w:rsidR="00DD662B" w:rsidRDefault="00DD662B" w:rsidP="00757AA1">
      <w:pPr>
        <w:tabs>
          <w:tab w:val="left" w:pos="0"/>
          <w:tab w:val="left" w:pos="398"/>
          <w:tab w:val="left" w:pos="795"/>
          <w:tab w:val="left" w:pos="4310"/>
          <w:tab w:val="left" w:pos="9922"/>
          <w:tab w:val="left" w:pos="10436"/>
        </w:tabs>
        <w:ind w:left="902"/>
        <w:jc w:val="both"/>
        <w:rPr>
          <w:spacing w:val="-3"/>
        </w:rPr>
      </w:pPr>
    </w:p>
    <w:p w14:paraId="140738F8" w14:textId="77777777" w:rsidR="00307EAE" w:rsidRDefault="00307EAE" w:rsidP="00757AA1">
      <w:pPr>
        <w:tabs>
          <w:tab w:val="left" w:pos="0"/>
          <w:tab w:val="left" w:pos="398"/>
          <w:tab w:val="left" w:pos="795"/>
          <w:tab w:val="left" w:pos="4310"/>
          <w:tab w:val="left" w:pos="9922"/>
          <w:tab w:val="left" w:pos="10436"/>
        </w:tabs>
        <w:ind w:left="902"/>
        <w:jc w:val="both"/>
        <w:rPr>
          <w:spacing w:val="-3"/>
        </w:rPr>
      </w:pPr>
    </w:p>
    <w:p w14:paraId="74213079" w14:textId="77777777" w:rsidR="00307EAE" w:rsidRDefault="00307EAE" w:rsidP="00757AA1">
      <w:pPr>
        <w:tabs>
          <w:tab w:val="left" w:pos="0"/>
          <w:tab w:val="left" w:pos="398"/>
          <w:tab w:val="left" w:pos="795"/>
          <w:tab w:val="left" w:pos="4310"/>
          <w:tab w:val="left" w:pos="9922"/>
          <w:tab w:val="left" w:pos="10436"/>
        </w:tabs>
        <w:ind w:left="902"/>
        <w:jc w:val="both"/>
        <w:rPr>
          <w:spacing w:val="-3"/>
        </w:rPr>
      </w:pPr>
    </w:p>
    <w:p w14:paraId="384D7C82" w14:textId="77777777" w:rsidR="00307EAE" w:rsidRDefault="00307EAE" w:rsidP="00757AA1">
      <w:pPr>
        <w:tabs>
          <w:tab w:val="left" w:pos="0"/>
          <w:tab w:val="left" w:pos="398"/>
          <w:tab w:val="left" w:pos="795"/>
          <w:tab w:val="left" w:pos="4310"/>
          <w:tab w:val="left" w:pos="9922"/>
          <w:tab w:val="left" w:pos="10436"/>
        </w:tabs>
        <w:ind w:left="902"/>
        <w:jc w:val="both"/>
        <w:rPr>
          <w:spacing w:val="-3"/>
        </w:rPr>
      </w:pPr>
    </w:p>
    <w:p w14:paraId="0FAE4618" w14:textId="77777777" w:rsidR="002621CB" w:rsidRDefault="002621CB" w:rsidP="00617714">
      <w:pPr>
        <w:jc w:val="both"/>
      </w:pPr>
    </w:p>
    <w:p w14:paraId="2BC3C968" w14:textId="77777777" w:rsidR="002621CB" w:rsidRDefault="002621CB" w:rsidP="002621CB">
      <w:pPr>
        <w:ind w:left="900"/>
        <w:jc w:val="both"/>
        <w:rPr>
          <w:i/>
          <w:lang w:eastAsia="ja-JP"/>
        </w:rPr>
      </w:pPr>
      <w:r>
        <w:rPr>
          <w:i/>
          <w:lang w:eastAsia="ja-JP"/>
        </w:rPr>
        <w:lastRenderedPageBreak/>
        <w:t>NBL-a</w:t>
      </w:r>
      <w:r w:rsidRPr="00A7338A">
        <w:rPr>
          <w:i/>
          <w:lang w:eastAsia="ja-JP"/>
        </w:rPr>
        <w:t>vgift</w:t>
      </w:r>
    </w:p>
    <w:p w14:paraId="11126796" w14:textId="77777777" w:rsidR="002621CB" w:rsidRPr="00F94F25" w:rsidRDefault="002621CB" w:rsidP="002621CB">
      <w:pPr>
        <w:tabs>
          <w:tab w:val="left" w:pos="0"/>
          <w:tab w:val="left" w:pos="398"/>
          <w:tab w:val="left" w:pos="795"/>
          <w:tab w:val="left" w:pos="4310"/>
          <w:tab w:val="left" w:pos="9922"/>
          <w:tab w:val="left" w:pos="10436"/>
        </w:tabs>
        <w:ind w:left="902"/>
        <w:jc w:val="both"/>
        <w:rPr>
          <w:spacing w:val="-3"/>
        </w:rPr>
      </w:pPr>
    </w:p>
    <w:p w14:paraId="0A1C9FF1" w14:textId="77777777" w:rsidR="00B25EFF" w:rsidRDefault="004F7F2A" w:rsidP="00617714">
      <w:pPr>
        <w:tabs>
          <w:tab w:val="left" w:pos="0"/>
          <w:tab w:val="left" w:pos="398"/>
          <w:tab w:val="left" w:pos="795"/>
          <w:tab w:val="left" w:pos="4310"/>
          <w:tab w:val="left" w:pos="9922"/>
          <w:tab w:val="left" w:pos="10436"/>
        </w:tabs>
        <w:ind w:left="902"/>
        <w:jc w:val="both"/>
        <w:rPr>
          <w:spacing w:val="-3"/>
        </w:rPr>
      </w:pPr>
      <w:r>
        <w:rPr>
          <w:spacing w:val="-3"/>
        </w:rPr>
        <w:t xml:space="preserve">Vad Novartis </w:t>
      </w:r>
      <w:r w:rsidR="00C40AC1">
        <w:rPr>
          <w:spacing w:val="-3"/>
        </w:rPr>
        <w:t xml:space="preserve">har </w:t>
      </w:r>
      <w:r>
        <w:rPr>
          <w:spacing w:val="-3"/>
        </w:rPr>
        <w:t>anför</w:t>
      </w:r>
      <w:r w:rsidR="00C40AC1">
        <w:rPr>
          <w:spacing w:val="-3"/>
        </w:rPr>
        <w:t>t</w:t>
      </w:r>
      <w:r>
        <w:rPr>
          <w:spacing w:val="-3"/>
        </w:rPr>
        <w:t xml:space="preserve"> om </w:t>
      </w:r>
      <w:r w:rsidR="00C40AC1">
        <w:rPr>
          <w:spacing w:val="-3"/>
        </w:rPr>
        <w:t xml:space="preserve">storleken på den av IGN utdömda avgiften föranleder inte nämnden </w:t>
      </w:r>
      <w:r>
        <w:rPr>
          <w:spacing w:val="-3"/>
        </w:rPr>
        <w:t xml:space="preserve">att </w:t>
      </w:r>
      <w:r w:rsidR="00C40AC1">
        <w:rPr>
          <w:spacing w:val="-3"/>
        </w:rPr>
        <w:t>reducera den</w:t>
      </w:r>
      <w:r>
        <w:rPr>
          <w:spacing w:val="-3"/>
        </w:rPr>
        <w:t xml:space="preserve">. </w:t>
      </w:r>
    </w:p>
    <w:p w14:paraId="073087BE" w14:textId="77777777" w:rsidR="00B25EFF" w:rsidRDefault="00B25EFF" w:rsidP="00617714">
      <w:pPr>
        <w:tabs>
          <w:tab w:val="left" w:pos="0"/>
          <w:tab w:val="left" w:pos="398"/>
          <w:tab w:val="left" w:pos="795"/>
          <w:tab w:val="left" w:pos="4310"/>
          <w:tab w:val="left" w:pos="9922"/>
          <w:tab w:val="left" w:pos="10436"/>
        </w:tabs>
        <w:ind w:left="902"/>
        <w:jc w:val="both"/>
        <w:rPr>
          <w:spacing w:val="-3"/>
        </w:rPr>
      </w:pPr>
    </w:p>
    <w:p w14:paraId="6BD4376C" w14:textId="77777777" w:rsidR="00101626" w:rsidRDefault="002621CB" w:rsidP="00617714">
      <w:pPr>
        <w:tabs>
          <w:tab w:val="left" w:pos="0"/>
          <w:tab w:val="left" w:pos="398"/>
          <w:tab w:val="left" w:pos="795"/>
          <w:tab w:val="left" w:pos="4310"/>
          <w:tab w:val="left" w:pos="9922"/>
          <w:tab w:val="left" w:pos="10436"/>
        </w:tabs>
        <w:ind w:left="902"/>
        <w:jc w:val="both"/>
        <w:rPr>
          <w:spacing w:val="-3"/>
        </w:rPr>
      </w:pPr>
      <w:r>
        <w:rPr>
          <w:spacing w:val="-3"/>
        </w:rPr>
        <w:t>Om NBL efter överklagan</w:t>
      </w:r>
      <w:r w:rsidR="00734C0F">
        <w:rPr>
          <w:spacing w:val="-3"/>
        </w:rPr>
        <w:t>de fastställer ett beslut av IGN</w:t>
      </w:r>
      <w:r>
        <w:rPr>
          <w:spacing w:val="-3"/>
        </w:rPr>
        <w:t xml:space="preserve"> enligt vilket läkemedelsföretaget har vidtagit en åtgärd som är oförenlig med god branschsed, ska företage</w:t>
      </w:r>
      <w:r w:rsidR="00734C0F">
        <w:rPr>
          <w:spacing w:val="-3"/>
        </w:rPr>
        <w:t>t betala – utöver den avgift IGN</w:t>
      </w:r>
      <w:r>
        <w:rPr>
          <w:spacing w:val="-3"/>
        </w:rPr>
        <w:t xml:space="preserve"> har fastställt – en avgift som NBL fastställer. NBL bestämmer avgiften till 40 000 kr.</w:t>
      </w:r>
    </w:p>
    <w:p w14:paraId="475F1B4D" w14:textId="77777777" w:rsidR="00757AA1" w:rsidRDefault="00757AA1" w:rsidP="00757AA1">
      <w:pPr>
        <w:tabs>
          <w:tab w:val="left" w:pos="0"/>
          <w:tab w:val="left" w:pos="398"/>
          <w:tab w:val="left" w:pos="795"/>
          <w:tab w:val="left" w:pos="4310"/>
          <w:tab w:val="left" w:pos="9922"/>
          <w:tab w:val="left" w:pos="10436"/>
        </w:tabs>
        <w:ind w:left="902"/>
        <w:jc w:val="both"/>
        <w:rPr>
          <w:b/>
          <w:spacing w:val="-3"/>
          <w:sz w:val="29"/>
        </w:rPr>
      </w:pPr>
    </w:p>
    <w:p w14:paraId="26A7368F" w14:textId="77777777" w:rsidR="00617714" w:rsidRDefault="00617714" w:rsidP="00757AA1">
      <w:pPr>
        <w:tabs>
          <w:tab w:val="left" w:pos="0"/>
          <w:tab w:val="left" w:pos="398"/>
          <w:tab w:val="left" w:pos="795"/>
          <w:tab w:val="left" w:pos="4310"/>
          <w:tab w:val="left" w:pos="9922"/>
          <w:tab w:val="left" w:pos="10436"/>
        </w:tabs>
        <w:ind w:left="902"/>
        <w:jc w:val="both"/>
        <w:rPr>
          <w:b/>
          <w:spacing w:val="-3"/>
          <w:sz w:val="29"/>
        </w:rPr>
      </w:pPr>
    </w:p>
    <w:p w14:paraId="77E4E0C4" w14:textId="77777777" w:rsidR="00E5071E" w:rsidRDefault="00E5071E" w:rsidP="00757AA1">
      <w:pPr>
        <w:tabs>
          <w:tab w:val="left" w:pos="0"/>
          <w:tab w:val="left" w:pos="398"/>
          <w:tab w:val="left" w:pos="795"/>
          <w:tab w:val="left" w:pos="4310"/>
          <w:tab w:val="left" w:pos="9922"/>
          <w:tab w:val="left" w:pos="10436"/>
        </w:tabs>
        <w:ind w:left="902"/>
        <w:jc w:val="both"/>
        <w:rPr>
          <w:spacing w:val="-3"/>
        </w:rPr>
      </w:pPr>
      <w:r>
        <w:rPr>
          <w:b/>
          <w:spacing w:val="-3"/>
          <w:sz w:val="29"/>
        </w:rPr>
        <w:t>Slutsats</w:t>
      </w:r>
    </w:p>
    <w:p w14:paraId="228FB0B9" w14:textId="77777777" w:rsidR="00E17315" w:rsidRDefault="00E17315" w:rsidP="00617714">
      <w:pPr>
        <w:tabs>
          <w:tab w:val="left" w:pos="0"/>
          <w:tab w:val="left" w:pos="398"/>
          <w:tab w:val="left" w:pos="795"/>
          <w:tab w:val="left" w:pos="4310"/>
          <w:tab w:val="left" w:pos="9922"/>
          <w:tab w:val="left" w:pos="10436"/>
        </w:tabs>
        <w:jc w:val="both"/>
        <w:rPr>
          <w:i/>
          <w:spacing w:val="-3"/>
        </w:rPr>
      </w:pPr>
    </w:p>
    <w:p w14:paraId="7D7B63DF" w14:textId="77777777" w:rsidR="00E5071E" w:rsidRDefault="00E5071E" w:rsidP="00757AA1">
      <w:pPr>
        <w:tabs>
          <w:tab w:val="left" w:pos="0"/>
          <w:tab w:val="left" w:pos="398"/>
          <w:tab w:val="left" w:pos="795"/>
          <w:tab w:val="left" w:pos="4310"/>
          <w:tab w:val="left" w:pos="9922"/>
          <w:tab w:val="left" w:pos="10436"/>
        </w:tabs>
        <w:ind w:left="902"/>
        <w:jc w:val="both"/>
        <w:rPr>
          <w:spacing w:val="-3"/>
        </w:rPr>
      </w:pPr>
      <w:r>
        <w:rPr>
          <w:spacing w:val="-3"/>
        </w:rPr>
        <w:t xml:space="preserve">NBL fastställer </w:t>
      </w:r>
      <w:proofErr w:type="spellStart"/>
      <w:r w:rsidR="0021644E">
        <w:t>IG</w:t>
      </w:r>
      <w:r w:rsidR="00734C0F">
        <w:t>N</w:t>
      </w:r>
      <w:r w:rsidR="0021644E">
        <w:t>:s</w:t>
      </w:r>
      <w:proofErr w:type="spellEnd"/>
      <w:r>
        <w:rPr>
          <w:spacing w:val="-3"/>
        </w:rPr>
        <w:t xml:space="preserve"> beslut </w:t>
      </w:r>
      <w:r w:rsidR="00617714">
        <w:rPr>
          <w:spacing w:val="-3"/>
        </w:rPr>
        <w:t>IGN-093</w:t>
      </w:r>
      <w:r>
        <w:rPr>
          <w:spacing w:val="-3"/>
        </w:rPr>
        <w:t>.</w:t>
      </w:r>
    </w:p>
    <w:p w14:paraId="01B36AD6" w14:textId="77777777" w:rsidR="0044781D" w:rsidRDefault="0044781D" w:rsidP="00617714">
      <w:pPr>
        <w:tabs>
          <w:tab w:val="left" w:pos="0"/>
          <w:tab w:val="left" w:pos="398"/>
          <w:tab w:val="left" w:pos="795"/>
          <w:tab w:val="left" w:pos="4310"/>
          <w:tab w:val="left" w:pos="9922"/>
          <w:tab w:val="left" w:pos="10436"/>
        </w:tabs>
        <w:jc w:val="both"/>
        <w:rPr>
          <w:spacing w:val="-3"/>
        </w:rPr>
      </w:pPr>
    </w:p>
    <w:p w14:paraId="5B163AEE" w14:textId="77777777" w:rsidR="00E5071E" w:rsidRDefault="00E5071E" w:rsidP="00757AA1">
      <w:pPr>
        <w:tabs>
          <w:tab w:val="left" w:pos="0"/>
          <w:tab w:val="left" w:pos="398"/>
          <w:tab w:val="left" w:pos="795"/>
          <w:tab w:val="left" w:pos="4310"/>
          <w:tab w:val="left" w:pos="9922"/>
          <w:tab w:val="left" w:pos="10436"/>
        </w:tabs>
        <w:ind w:left="902"/>
        <w:jc w:val="both"/>
        <w:rPr>
          <w:spacing w:val="-3"/>
        </w:rPr>
      </w:pPr>
      <w:r>
        <w:rPr>
          <w:spacing w:val="-3"/>
        </w:rPr>
        <w:t>_______________________</w:t>
      </w:r>
    </w:p>
    <w:p w14:paraId="7EDF9639" w14:textId="77777777" w:rsidR="00E5071E" w:rsidRDefault="00E5071E" w:rsidP="00617714">
      <w:pPr>
        <w:tabs>
          <w:tab w:val="left" w:pos="3061"/>
          <w:tab w:val="left" w:pos="3913"/>
          <w:tab w:val="left" w:pos="5218"/>
          <w:tab w:val="left" w:pos="6522"/>
          <w:tab w:val="left" w:pos="7827"/>
          <w:tab w:val="left" w:pos="9131"/>
          <w:tab w:val="left" w:pos="10436"/>
        </w:tabs>
        <w:suppressAutoHyphens/>
        <w:jc w:val="both"/>
        <w:rPr>
          <w:spacing w:val="-3"/>
        </w:rPr>
      </w:pPr>
    </w:p>
    <w:p w14:paraId="629310C6" w14:textId="77777777" w:rsidR="00E5071E" w:rsidRDefault="00617714" w:rsidP="00757AA1">
      <w:pPr>
        <w:tabs>
          <w:tab w:val="left" w:pos="3061"/>
          <w:tab w:val="left" w:pos="3913"/>
          <w:tab w:val="left" w:pos="5218"/>
          <w:tab w:val="left" w:pos="6522"/>
          <w:tab w:val="left" w:pos="7827"/>
          <w:tab w:val="left" w:pos="9131"/>
          <w:tab w:val="left" w:pos="10436"/>
        </w:tabs>
        <w:suppressAutoHyphens/>
        <w:ind w:left="902"/>
        <w:jc w:val="both"/>
        <w:rPr>
          <w:spacing w:val="-3"/>
        </w:rPr>
      </w:pPr>
      <w:r>
        <w:rPr>
          <w:spacing w:val="-3"/>
        </w:rPr>
        <w:t>Novartis Sverige</w:t>
      </w:r>
      <w:r w:rsidR="00E5071E">
        <w:rPr>
          <w:spacing w:val="-3"/>
        </w:rPr>
        <w:t xml:space="preserve"> AB uppmanas att framdeles vid utformningen av sin läkemedelsinformation beakta vad NBL här </w:t>
      </w:r>
      <w:r w:rsidR="00D73C1C">
        <w:rPr>
          <w:spacing w:val="-3"/>
        </w:rPr>
        <w:t xml:space="preserve">har </w:t>
      </w:r>
      <w:r w:rsidR="00E5071E">
        <w:rPr>
          <w:spacing w:val="-3"/>
        </w:rPr>
        <w:t xml:space="preserve">anfört och att senast </w:t>
      </w:r>
      <w:r w:rsidR="00307EAE">
        <w:rPr>
          <w:spacing w:val="-3"/>
        </w:rPr>
        <w:t xml:space="preserve">två veckor från datumet för detta yttrandes avgivande </w:t>
      </w:r>
      <w:r w:rsidR="00E5071E">
        <w:rPr>
          <w:spacing w:val="-3"/>
        </w:rPr>
        <w:t>bekräfta att denna uppmaning kommer att följas</w:t>
      </w:r>
      <w:r w:rsidR="00A466D2" w:rsidRPr="00A466D2">
        <w:rPr>
          <w:spacing w:val="-3"/>
        </w:rPr>
        <w:t xml:space="preserve"> </w:t>
      </w:r>
      <w:r w:rsidR="00A466D2">
        <w:rPr>
          <w:spacing w:val="-3"/>
        </w:rPr>
        <w:t>genom att returnera den bifogade bekräftelse</w:t>
      </w:r>
      <w:r>
        <w:rPr>
          <w:spacing w:val="-3"/>
        </w:rPr>
        <w:t>-</w:t>
      </w:r>
      <w:r w:rsidR="00A466D2">
        <w:rPr>
          <w:spacing w:val="-3"/>
        </w:rPr>
        <w:t>handlingen.</w:t>
      </w:r>
    </w:p>
    <w:p w14:paraId="3EF776BD" w14:textId="77777777" w:rsidR="00E5071E" w:rsidRDefault="00E5071E" w:rsidP="00757AA1">
      <w:pPr>
        <w:tabs>
          <w:tab w:val="left" w:pos="0"/>
          <w:tab w:val="left" w:pos="398"/>
          <w:tab w:val="left" w:pos="795"/>
          <w:tab w:val="left" w:pos="4310"/>
          <w:tab w:val="left" w:pos="9922"/>
          <w:tab w:val="left" w:pos="10436"/>
        </w:tabs>
        <w:ind w:left="902"/>
        <w:jc w:val="both"/>
        <w:rPr>
          <w:spacing w:val="-3"/>
        </w:rPr>
      </w:pPr>
      <w:r>
        <w:rPr>
          <w:spacing w:val="-3"/>
        </w:rPr>
        <w:t>_______________________</w:t>
      </w:r>
    </w:p>
    <w:p w14:paraId="3692FF56" w14:textId="77777777" w:rsidR="00757AA1" w:rsidRDefault="00757AA1" w:rsidP="00757AA1">
      <w:pPr>
        <w:tabs>
          <w:tab w:val="left" w:pos="3061"/>
          <w:tab w:val="left" w:pos="3913"/>
          <w:tab w:val="left" w:pos="5218"/>
          <w:tab w:val="left" w:pos="6522"/>
          <w:tab w:val="left" w:pos="7827"/>
          <w:tab w:val="left" w:pos="9131"/>
          <w:tab w:val="left" w:pos="10435"/>
        </w:tabs>
        <w:suppressAutoHyphens/>
        <w:ind w:left="902"/>
        <w:jc w:val="both"/>
        <w:rPr>
          <w:spacing w:val="-3"/>
        </w:rPr>
      </w:pPr>
    </w:p>
    <w:p w14:paraId="405A5571" w14:textId="77777777" w:rsidR="00757AA1" w:rsidRDefault="00617714" w:rsidP="009753BE">
      <w:pPr>
        <w:tabs>
          <w:tab w:val="left" w:pos="3061"/>
          <w:tab w:val="left" w:pos="3913"/>
          <w:tab w:val="left" w:pos="5218"/>
          <w:tab w:val="left" w:pos="6522"/>
          <w:tab w:val="left" w:pos="7827"/>
          <w:tab w:val="left" w:pos="9131"/>
          <w:tab w:val="left" w:pos="10435"/>
        </w:tabs>
        <w:suppressAutoHyphens/>
        <w:ind w:left="902"/>
        <w:jc w:val="both"/>
        <w:rPr>
          <w:spacing w:val="-3"/>
        </w:rPr>
      </w:pPr>
      <w:r>
        <w:rPr>
          <w:spacing w:val="-3"/>
        </w:rPr>
        <w:t>Novartis Sverige</w:t>
      </w:r>
      <w:r w:rsidR="00E5071E">
        <w:rPr>
          <w:spacing w:val="-3"/>
        </w:rPr>
        <w:t xml:space="preserve"> AB ska efter fakturering från LIF Service AB betala den i </w:t>
      </w:r>
      <w:proofErr w:type="spellStart"/>
      <w:r w:rsidR="0021644E">
        <w:t>IG</w:t>
      </w:r>
      <w:r w:rsidR="00492E5C">
        <w:t>N</w:t>
      </w:r>
      <w:r w:rsidR="0021644E">
        <w:t>:s</w:t>
      </w:r>
      <w:proofErr w:type="spellEnd"/>
      <w:r w:rsidR="00E5071E">
        <w:rPr>
          <w:spacing w:val="-3"/>
        </w:rPr>
        <w:t xml:space="preserve"> beslut angivna IG</w:t>
      </w:r>
      <w:r w:rsidR="00492E5C">
        <w:rPr>
          <w:spacing w:val="-3"/>
        </w:rPr>
        <w:t>N</w:t>
      </w:r>
      <w:r w:rsidR="00E5071E">
        <w:rPr>
          <w:spacing w:val="-3"/>
        </w:rPr>
        <w:t xml:space="preserve">-avgiften om </w:t>
      </w:r>
      <w:r>
        <w:rPr>
          <w:spacing w:val="-3"/>
        </w:rPr>
        <w:t>90 000</w:t>
      </w:r>
      <w:r w:rsidR="00E5071E">
        <w:rPr>
          <w:spacing w:val="-3"/>
        </w:rPr>
        <w:t xml:space="preserve"> kr samt en NBL-avgift om </w:t>
      </w:r>
      <w:r>
        <w:rPr>
          <w:spacing w:val="-3"/>
        </w:rPr>
        <w:t>40 000</w:t>
      </w:r>
      <w:r w:rsidR="00E5071E">
        <w:rPr>
          <w:spacing w:val="-3"/>
        </w:rPr>
        <w:t xml:space="preserve"> kr, dvs</w:t>
      </w:r>
      <w:r w:rsidR="00C16DED">
        <w:rPr>
          <w:spacing w:val="-3"/>
        </w:rPr>
        <w:t>.</w:t>
      </w:r>
      <w:r w:rsidR="00E5071E">
        <w:rPr>
          <w:spacing w:val="-3"/>
        </w:rPr>
        <w:t xml:space="preserve"> totalt </w:t>
      </w:r>
      <w:r>
        <w:rPr>
          <w:spacing w:val="-3"/>
        </w:rPr>
        <w:t>130 000</w:t>
      </w:r>
      <w:r w:rsidR="00E5071E">
        <w:rPr>
          <w:spacing w:val="-3"/>
        </w:rPr>
        <w:t xml:space="preserve"> kr</w:t>
      </w:r>
      <w:r>
        <w:rPr>
          <w:spacing w:val="-3"/>
        </w:rPr>
        <w:t>.</w:t>
      </w:r>
    </w:p>
    <w:p w14:paraId="648CA9AA" w14:textId="77777777" w:rsidR="00E5071E" w:rsidRDefault="00E5071E" w:rsidP="00757AA1">
      <w:pPr>
        <w:tabs>
          <w:tab w:val="left" w:pos="3061"/>
          <w:tab w:val="left" w:pos="3913"/>
          <w:tab w:val="left" w:pos="5218"/>
          <w:tab w:val="left" w:pos="6522"/>
          <w:tab w:val="left" w:pos="7827"/>
          <w:tab w:val="left" w:pos="9131"/>
          <w:tab w:val="left" w:pos="10435"/>
        </w:tabs>
        <w:suppressAutoHyphens/>
        <w:ind w:left="902"/>
        <w:jc w:val="both"/>
        <w:rPr>
          <w:spacing w:val="-3"/>
        </w:rPr>
      </w:pPr>
      <w:r>
        <w:rPr>
          <w:spacing w:val="-3"/>
        </w:rPr>
        <w:t>_______________________</w:t>
      </w:r>
    </w:p>
    <w:p w14:paraId="0355C1E4" w14:textId="77777777" w:rsidR="00E5071E" w:rsidRDefault="00E5071E" w:rsidP="00757AA1">
      <w:pPr>
        <w:tabs>
          <w:tab w:val="left" w:pos="3061"/>
          <w:tab w:val="left" w:pos="3119"/>
          <w:tab w:val="left" w:pos="3913"/>
          <w:tab w:val="left" w:pos="5218"/>
          <w:tab w:val="left" w:pos="6522"/>
          <w:tab w:val="left" w:pos="7827"/>
          <w:tab w:val="left" w:pos="9131"/>
          <w:tab w:val="left" w:pos="10436"/>
        </w:tabs>
        <w:suppressAutoHyphens/>
        <w:ind w:left="902"/>
        <w:jc w:val="both"/>
        <w:rPr>
          <w:spacing w:val="-3"/>
        </w:rPr>
      </w:pPr>
    </w:p>
    <w:p w14:paraId="0BFC0739" w14:textId="77777777" w:rsidR="00C01CAE" w:rsidRDefault="009753BE" w:rsidP="00C01CAE">
      <w:pPr>
        <w:tabs>
          <w:tab w:val="left" w:pos="3061"/>
          <w:tab w:val="left" w:pos="3119"/>
          <w:tab w:val="left" w:pos="3913"/>
          <w:tab w:val="left" w:pos="5218"/>
          <w:tab w:val="left" w:pos="6522"/>
          <w:tab w:val="left" w:pos="7827"/>
          <w:tab w:val="left" w:pos="9131"/>
          <w:tab w:val="left" w:pos="10436"/>
        </w:tabs>
        <w:suppressAutoHyphens/>
        <w:ind w:left="900"/>
        <w:jc w:val="both"/>
      </w:pPr>
      <w:r>
        <w:rPr>
          <w:spacing w:val="-3"/>
        </w:rPr>
        <w:t>D</w:t>
      </w:r>
      <w:r w:rsidR="00C01CAE">
        <w:rPr>
          <w:spacing w:val="-3"/>
        </w:rPr>
        <w:t>etta yttrande har avgivits av vice ordföranden Ingemar Persson, de företagsanknutna ledamöterna Annika Ohls</w:t>
      </w:r>
      <w:r w:rsidR="003D0821">
        <w:rPr>
          <w:spacing w:val="-3"/>
        </w:rPr>
        <w:t>s</w:t>
      </w:r>
      <w:r w:rsidR="00C01CAE">
        <w:rPr>
          <w:spacing w:val="-3"/>
        </w:rPr>
        <w:t>on,</w:t>
      </w:r>
      <w:r w:rsidR="00C01CAE">
        <w:t xml:space="preserve"> </w:t>
      </w:r>
      <w:r w:rsidR="00C01CAE">
        <w:rPr>
          <w:spacing w:val="-3"/>
        </w:rPr>
        <w:t xml:space="preserve">Birgitta </w:t>
      </w:r>
      <w:proofErr w:type="spellStart"/>
      <w:r w:rsidR="00C01CAE">
        <w:rPr>
          <w:spacing w:val="-3"/>
        </w:rPr>
        <w:t>Strinnholm</w:t>
      </w:r>
      <w:proofErr w:type="spellEnd"/>
      <w:r w:rsidR="00C01CAE">
        <w:t xml:space="preserve"> och </w:t>
      </w:r>
      <w:r w:rsidR="00C01CAE">
        <w:rPr>
          <w:spacing w:val="-3"/>
        </w:rPr>
        <w:t>Ulrika Widenborg</w:t>
      </w:r>
      <w:r w:rsidR="00C01CAE">
        <w:t xml:space="preserve">, de medicinskt sakkunniga Lennart Andrén och Synnöve Lindemalm samt företrädarna för allmänintresset Ulf Brändström och </w:t>
      </w:r>
      <w:r w:rsidR="00C01CAE">
        <w:rPr>
          <w:spacing w:val="-3"/>
        </w:rPr>
        <w:t>Bernt Åslund</w:t>
      </w:r>
      <w:r w:rsidR="00C01CAE">
        <w:t xml:space="preserve">. </w:t>
      </w:r>
    </w:p>
    <w:p w14:paraId="5EADBC72" w14:textId="77777777" w:rsidR="00C01CAE" w:rsidRDefault="00C01CAE" w:rsidP="00C01CAE">
      <w:pPr>
        <w:tabs>
          <w:tab w:val="left" w:pos="3061"/>
          <w:tab w:val="left" w:pos="3119"/>
          <w:tab w:val="left" w:pos="3913"/>
          <w:tab w:val="left" w:pos="5218"/>
          <w:tab w:val="left" w:pos="6522"/>
          <w:tab w:val="left" w:pos="7827"/>
          <w:tab w:val="left" w:pos="9131"/>
          <w:tab w:val="left" w:pos="10436"/>
        </w:tabs>
        <w:suppressAutoHyphens/>
        <w:ind w:left="900"/>
        <w:jc w:val="both"/>
        <w:rPr>
          <w:spacing w:val="-3"/>
        </w:rPr>
      </w:pPr>
    </w:p>
    <w:p w14:paraId="4A2337BB" w14:textId="77777777" w:rsidR="004B4B7C" w:rsidRDefault="00C01CAE" w:rsidP="00C01CAE">
      <w:pPr>
        <w:tabs>
          <w:tab w:val="left" w:pos="3061"/>
          <w:tab w:val="left" w:pos="3119"/>
          <w:tab w:val="left" w:pos="3913"/>
          <w:tab w:val="left" w:pos="5218"/>
          <w:tab w:val="left" w:pos="6522"/>
          <w:tab w:val="left" w:pos="7827"/>
          <w:tab w:val="left" w:pos="9131"/>
          <w:tab w:val="left" w:pos="10436"/>
        </w:tabs>
        <w:suppressAutoHyphens/>
        <w:ind w:left="900"/>
        <w:jc w:val="both"/>
      </w:pPr>
      <w:r>
        <w:rPr>
          <w:spacing w:val="-3"/>
        </w:rPr>
        <w:t>I ärendets beha</w:t>
      </w:r>
      <w:r w:rsidR="009753BE">
        <w:rPr>
          <w:spacing w:val="-3"/>
        </w:rPr>
        <w:t xml:space="preserve">ndling har också </w:t>
      </w:r>
      <w:r>
        <w:rPr>
          <w:spacing w:val="-3"/>
        </w:rPr>
        <w:t>suppleanten Christina Fabian</w:t>
      </w:r>
      <w:r w:rsidR="009753BE" w:rsidRPr="009753BE">
        <w:rPr>
          <w:spacing w:val="-3"/>
        </w:rPr>
        <w:t xml:space="preserve"> </w:t>
      </w:r>
      <w:r w:rsidR="009753BE">
        <w:rPr>
          <w:spacing w:val="-3"/>
        </w:rPr>
        <w:t>medverkat</w:t>
      </w:r>
      <w:r>
        <w:rPr>
          <w:spacing w:val="-3"/>
        </w:rPr>
        <w:t>.</w:t>
      </w:r>
    </w:p>
    <w:p w14:paraId="441DE45D" w14:textId="77777777" w:rsidR="004B4B7C" w:rsidRDefault="004B4B7C" w:rsidP="004B4B7C">
      <w:pPr>
        <w:tabs>
          <w:tab w:val="left" w:pos="3061"/>
          <w:tab w:val="left" w:pos="3913"/>
          <w:tab w:val="left" w:pos="5218"/>
          <w:tab w:val="left" w:pos="6522"/>
          <w:tab w:val="left" w:pos="7827"/>
          <w:tab w:val="left" w:pos="9131"/>
          <w:tab w:val="left" w:pos="10436"/>
        </w:tabs>
        <w:suppressAutoHyphens/>
        <w:ind w:left="900"/>
        <w:jc w:val="both"/>
      </w:pPr>
    </w:p>
    <w:p w14:paraId="49CE9F0C" w14:textId="77777777" w:rsidR="00757AA1" w:rsidRDefault="00757AA1" w:rsidP="00757AA1">
      <w:pPr>
        <w:tabs>
          <w:tab w:val="left" w:pos="3061"/>
          <w:tab w:val="left" w:pos="3913"/>
          <w:tab w:val="left" w:pos="5218"/>
          <w:tab w:val="left" w:pos="6522"/>
          <w:tab w:val="left" w:pos="7827"/>
          <w:tab w:val="left" w:pos="9131"/>
          <w:tab w:val="left" w:pos="10436"/>
        </w:tabs>
        <w:suppressAutoHyphens/>
        <w:ind w:left="902"/>
        <w:jc w:val="both"/>
      </w:pPr>
    </w:p>
    <w:p w14:paraId="16B87258" w14:textId="77777777" w:rsidR="00E5071E" w:rsidRDefault="00E5071E" w:rsidP="00757AA1">
      <w:pPr>
        <w:tabs>
          <w:tab w:val="left" w:pos="3061"/>
          <w:tab w:val="left" w:pos="3913"/>
          <w:tab w:val="left" w:pos="5218"/>
          <w:tab w:val="left" w:pos="6522"/>
          <w:tab w:val="left" w:pos="7827"/>
          <w:tab w:val="left" w:pos="9131"/>
          <w:tab w:val="left" w:pos="10436"/>
        </w:tabs>
        <w:suppressAutoHyphens/>
        <w:ind w:left="902"/>
        <w:jc w:val="both"/>
        <w:rPr>
          <w:spacing w:val="-3"/>
        </w:rPr>
      </w:pPr>
      <w:r>
        <w:t>Yttrandet är</w:t>
      </w:r>
      <w:r>
        <w:rPr>
          <w:spacing w:val="-3"/>
        </w:rPr>
        <w:t xml:space="preserve"> enhälligt.</w:t>
      </w:r>
    </w:p>
    <w:p w14:paraId="3D074B6C" w14:textId="77777777" w:rsidR="00950DD4" w:rsidRDefault="00950DD4" w:rsidP="00757AA1">
      <w:pPr>
        <w:tabs>
          <w:tab w:val="left" w:pos="3061"/>
          <w:tab w:val="left" w:pos="3913"/>
          <w:tab w:val="left" w:pos="5218"/>
          <w:tab w:val="left" w:pos="6522"/>
          <w:tab w:val="left" w:pos="7827"/>
          <w:tab w:val="left" w:pos="9131"/>
          <w:tab w:val="left" w:pos="10436"/>
        </w:tabs>
        <w:suppressAutoHyphens/>
        <w:ind w:left="902"/>
        <w:jc w:val="both"/>
        <w:rPr>
          <w:spacing w:val="-3"/>
        </w:rPr>
      </w:pPr>
    </w:p>
    <w:p w14:paraId="5BE54394" w14:textId="77777777" w:rsidR="00950DD4" w:rsidRDefault="00950DD4" w:rsidP="00757AA1">
      <w:pPr>
        <w:tabs>
          <w:tab w:val="left" w:pos="3061"/>
          <w:tab w:val="left" w:pos="3913"/>
          <w:tab w:val="left" w:pos="5218"/>
          <w:tab w:val="left" w:pos="6522"/>
          <w:tab w:val="left" w:pos="7827"/>
          <w:tab w:val="left" w:pos="9131"/>
          <w:tab w:val="left" w:pos="10436"/>
        </w:tabs>
        <w:suppressAutoHyphens/>
        <w:ind w:left="902"/>
        <w:jc w:val="both"/>
        <w:rPr>
          <w:spacing w:val="-3"/>
        </w:rPr>
      </w:pPr>
    </w:p>
    <w:p w14:paraId="055E5A56" w14:textId="77777777" w:rsidR="00757AA1" w:rsidRDefault="00757AA1" w:rsidP="00757AA1">
      <w:pPr>
        <w:tabs>
          <w:tab w:val="left" w:pos="0"/>
          <w:tab w:val="left" w:pos="398"/>
          <w:tab w:val="left" w:pos="795"/>
          <w:tab w:val="left" w:pos="4310"/>
          <w:tab w:val="left" w:pos="9922"/>
          <w:tab w:val="left" w:pos="10436"/>
        </w:tabs>
        <w:ind w:left="902"/>
        <w:jc w:val="both"/>
        <w:rPr>
          <w:spacing w:val="-3"/>
        </w:rPr>
      </w:pPr>
    </w:p>
    <w:p w14:paraId="0FBC595B" w14:textId="77777777" w:rsidR="00E5071E" w:rsidRDefault="00E5071E" w:rsidP="00757AA1">
      <w:pPr>
        <w:tabs>
          <w:tab w:val="left" w:pos="0"/>
          <w:tab w:val="left" w:pos="398"/>
          <w:tab w:val="left" w:pos="795"/>
          <w:tab w:val="left" w:pos="4310"/>
          <w:tab w:val="left" w:pos="9922"/>
          <w:tab w:val="left" w:pos="10436"/>
        </w:tabs>
        <w:ind w:left="902"/>
        <w:jc w:val="both"/>
        <w:rPr>
          <w:spacing w:val="-3"/>
        </w:rPr>
      </w:pPr>
      <w:r>
        <w:rPr>
          <w:spacing w:val="-3"/>
        </w:rPr>
        <w:t>På bedömningsnämndens vägnar</w:t>
      </w:r>
    </w:p>
    <w:p w14:paraId="47BCAFCE" w14:textId="77777777" w:rsidR="00E5071E" w:rsidRDefault="00E5071E" w:rsidP="00757AA1">
      <w:pPr>
        <w:tabs>
          <w:tab w:val="left" w:pos="3061"/>
          <w:tab w:val="left" w:pos="3913"/>
          <w:tab w:val="left" w:pos="5218"/>
          <w:tab w:val="left" w:pos="6522"/>
          <w:tab w:val="left" w:pos="7827"/>
          <w:tab w:val="left" w:pos="9131"/>
          <w:tab w:val="left" w:pos="10436"/>
        </w:tabs>
        <w:suppressAutoHyphens/>
        <w:ind w:left="902"/>
        <w:jc w:val="both"/>
      </w:pPr>
    </w:p>
    <w:p w14:paraId="2CB15112" w14:textId="77777777" w:rsidR="00284446" w:rsidRDefault="00284446" w:rsidP="00757AA1">
      <w:pPr>
        <w:tabs>
          <w:tab w:val="left" w:pos="3061"/>
          <w:tab w:val="left" w:pos="3913"/>
          <w:tab w:val="left" w:pos="5218"/>
          <w:tab w:val="left" w:pos="6522"/>
          <w:tab w:val="left" w:pos="7827"/>
          <w:tab w:val="left" w:pos="9131"/>
          <w:tab w:val="left" w:pos="10436"/>
        </w:tabs>
        <w:suppressAutoHyphens/>
        <w:ind w:left="902"/>
        <w:jc w:val="both"/>
      </w:pPr>
    </w:p>
    <w:p w14:paraId="297FF436" w14:textId="77777777" w:rsidR="00284446" w:rsidRDefault="00284446" w:rsidP="00757AA1">
      <w:pPr>
        <w:tabs>
          <w:tab w:val="left" w:pos="3061"/>
          <w:tab w:val="left" w:pos="3913"/>
          <w:tab w:val="left" w:pos="5218"/>
          <w:tab w:val="left" w:pos="6522"/>
          <w:tab w:val="left" w:pos="7827"/>
          <w:tab w:val="left" w:pos="9131"/>
          <w:tab w:val="left" w:pos="10436"/>
        </w:tabs>
        <w:suppressAutoHyphens/>
        <w:ind w:left="902"/>
        <w:jc w:val="both"/>
      </w:pPr>
    </w:p>
    <w:p w14:paraId="2CC878D6" w14:textId="77777777" w:rsidR="00757AA1" w:rsidRDefault="009753BE" w:rsidP="00757AA1">
      <w:pPr>
        <w:tabs>
          <w:tab w:val="left" w:pos="3061"/>
          <w:tab w:val="left" w:pos="3913"/>
          <w:tab w:val="left" w:pos="5218"/>
          <w:tab w:val="left" w:pos="6522"/>
          <w:tab w:val="left" w:pos="7827"/>
          <w:tab w:val="left" w:pos="9131"/>
          <w:tab w:val="left" w:pos="10436"/>
        </w:tabs>
        <w:suppressAutoHyphens/>
        <w:ind w:left="902"/>
        <w:jc w:val="both"/>
      </w:pPr>
      <w:r>
        <w:t>Ingemar Persson</w:t>
      </w:r>
      <w:r w:rsidR="00E5071E">
        <w:tab/>
      </w:r>
      <w:r w:rsidR="00E5071E">
        <w:tab/>
      </w:r>
      <w:r w:rsidR="00E5071E">
        <w:tab/>
      </w:r>
    </w:p>
    <w:p w14:paraId="21D06C95" w14:textId="77777777" w:rsidR="00757AA1" w:rsidRDefault="00757AA1" w:rsidP="00757AA1">
      <w:pPr>
        <w:tabs>
          <w:tab w:val="left" w:pos="3061"/>
          <w:tab w:val="left" w:pos="3913"/>
          <w:tab w:val="left" w:pos="5218"/>
          <w:tab w:val="left" w:pos="6522"/>
          <w:tab w:val="left" w:pos="7827"/>
          <w:tab w:val="left" w:pos="9131"/>
          <w:tab w:val="left" w:pos="10436"/>
        </w:tabs>
        <w:suppressAutoHyphens/>
        <w:ind w:left="902"/>
        <w:jc w:val="both"/>
      </w:pPr>
    </w:p>
    <w:p w14:paraId="53E24481" w14:textId="77777777" w:rsidR="00E5071E" w:rsidRDefault="00757AA1" w:rsidP="00757AA1">
      <w:pPr>
        <w:tabs>
          <w:tab w:val="left" w:pos="3061"/>
          <w:tab w:val="left" w:pos="3913"/>
          <w:tab w:val="left" w:pos="5218"/>
          <w:tab w:val="left" w:pos="6522"/>
          <w:tab w:val="left" w:pos="7827"/>
          <w:tab w:val="left" w:pos="9131"/>
          <w:tab w:val="left" w:pos="10436"/>
        </w:tabs>
        <w:suppressAutoHyphens/>
        <w:ind w:left="902"/>
        <w:jc w:val="both"/>
      </w:pPr>
      <w:r>
        <w:tab/>
      </w:r>
      <w:r>
        <w:tab/>
      </w:r>
      <w:r>
        <w:tab/>
      </w:r>
      <w:r w:rsidR="001D7B03">
        <w:t>Annie Johansson</w:t>
      </w:r>
    </w:p>
    <w:p w14:paraId="2A6AE16E" w14:textId="77777777" w:rsidR="00E5071E" w:rsidRDefault="00E5071E" w:rsidP="002E54B3">
      <w:pPr>
        <w:pStyle w:val="Instll"/>
        <w:tabs>
          <w:tab w:val="clear" w:pos="-720"/>
          <w:tab w:val="left" w:pos="0"/>
          <w:tab w:val="left" w:pos="398"/>
          <w:tab w:val="left" w:pos="795"/>
          <w:tab w:val="left" w:pos="4310"/>
          <w:tab w:val="left" w:pos="9922"/>
          <w:tab w:val="left" w:pos="10436"/>
        </w:tabs>
        <w:suppressAutoHyphens w:val="0"/>
        <w:rPr>
          <w:rFonts w:ascii="Times New Roman" w:hAnsi="Times New Roman"/>
          <w:lang w:val="sv-SE"/>
        </w:rPr>
      </w:pPr>
    </w:p>
    <w:p w14:paraId="61570742" w14:textId="77777777" w:rsidR="00E5071E" w:rsidRDefault="00E5071E" w:rsidP="00757AA1">
      <w:pPr>
        <w:pStyle w:val="Instll"/>
        <w:tabs>
          <w:tab w:val="clear" w:pos="-720"/>
          <w:tab w:val="left" w:pos="0"/>
          <w:tab w:val="left" w:pos="398"/>
          <w:tab w:val="left" w:pos="795"/>
          <w:tab w:val="left" w:pos="4310"/>
          <w:tab w:val="left" w:pos="9922"/>
          <w:tab w:val="left" w:pos="10436"/>
        </w:tabs>
        <w:suppressAutoHyphens w:val="0"/>
        <w:ind w:left="902"/>
        <w:rPr>
          <w:rFonts w:ascii="Times New Roman" w:hAnsi="Times New Roman"/>
          <w:lang w:val="sv-SE"/>
        </w:rPr>
      </w:pPr>
      <w:r>
        <w:rPr>
          <w:rFonts w:ascii="Times New Roman" w:hAnsi="Times New Roman"/>
          <w:lang w:val="sv-SE"/>
        </w:rPr>
        <w:t>Bilagor</w:t>
      </w:r>
    </w:p>
    <w:p w14:paraId="62BE680F" w14:textId="77777777" w:rsidR="009753BE" w:rsidRDefault="009753BE" w:rsidP="009753BE">
      <w:pPr>
        <w:pStyle w:val="Instll"/>
        <w:tabs>
          <w:tab w:val="clear" w:pos="-720"/>
          <w:tab w:val="left" w:pos="0"/>
          <w:tab w:val="left" w:pos="398"/>
          <w:tab w:val="left" w:pos="795"/>
          <w:tab w:val="left" w:pos="4310"/>
          <w:tab w:val="left" w:pos="9922"/>
          <w:tab w:val="left" w:pos="10436"/>
        </w:tabs>
        <w:suppressAutoHyphens w:val="0"/>
        <w:rPr>
          <w:rFonts w:ascii="Times New Roman" w:hAnsi="Times New Roman"/>
          <w:lang w:val="sv-SE"/>
        </w:rPr>
      </w:pPr>
    </w:p>
    <w:p w14:paraId="3DAAF5AB" w14:textId="77777777" w:rsidR="009753BE" w:rsidRDefault="00AF33CF" w:rsidP="009753BE">
      <w:pPr>
        <w:ind w:left="902"/>
        <w:jc w:val="both"/>
      </w:pPr>
      <w:r>
        <w:t>Bilaga 1–2</w:t>
      </w:r>
      <w:r>
        <w:tab/>
        <w:t>Anmäld LinkedI</w:t>
      </w:r>
      <w:r w:rsidR="009753BE">
        <w:t>n-publicering</w:t>
      </w:r>
    </w:p>
    <w:p w14:paraId="629F8260" w14:textId="77777777" w:rsidR="009753BE" w:rsidRDefault="009753BE" w:rsidP="009753BE">
      <w:pPr>
        <w:pStyle w:val="Instll"/>
        <w:tabs>
          <w:tab w:val="clear" w:pos="-720"/>
          <w:tab w:val="left" w:pos="0"/>
          <w:tab w:val="left" w:pos="398"/>
          <w:tab w:val="left" w:pos="795"/>
          <w:tab w:val="left" w:pos="4310"/>
          <w:tab w:val="left" w:pos="9922"/>
          <w:tab w:val="left" w:pos="10436"/>
        </w:tabs>
        <w:suppressAutoHyphens w:val="0"/>
        <w:rPr>
          <w:lang w:val="sv-SE"/>
        </w:rPr>
      </w:pPr>
    </w:p>
    <w:p w14:paraId="1C59943D" w14:textId="77777777" w:rsidR="009753BE" w:rsidRDefault="009753BE" w:rsidP="009753BE">
      <w:pPr>
        <w:ind w:left="902"/>
        <w:jc w:val="both"/>
      </w:pPr>
      <w:r>
        <w:t>Bilaga 3</w:t>
      </w:r>
      <w:r>
        <w:tab/>
        <w:t>IGN-093</w:t>
      </w:r>
    </w:p>
    <w:p w14:paraId="3398A933" w14:textId="77777777" w:rsidR="009753BE" w:rsidRDefault="009753BE" w:rsidP="009753BE">
      <w:pPr>
        <w:ind w:left="902"/>
        <w:jc w:val="both"/>
      </w:pPr>
    </w:p>
    <w:p w14:paraId="029FD67C" w14:textId="77777777" w:rsidR="00E5071E" w:rsidRDefault="009753BE" w:rsidP="009E5BEA">
      <w:pPr>
        <w:ind w:left="902"/>
        <w:jc w:val="both"/>
      </w:pPr>
      <w:r>
        <w:t>Bilaga 4</w:t>
      </w:r>
      <w:r>
        <w:tab/>
        <w:t>Överklagande</w:t>
      </w:r>
    </w:p>
    <w:sectPr w:rsidR="00E5071E" w:rsidSect="0094217A">
      <w:headerReference w:type="default" r:id="rId11"/>
      <w:headerReference w:type="first" r:id="rId12"/>
      <w:footerReference w:type="first" r:id="rId13"/>
      <w:pgSz w:w="11906" w:h="16838" w:code="9"/>
      <w:pgMar w:top="2109" w:right="1418" w:bottom="1418" w:left="1080" w:header="1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58BB" w14:textId="77777777" w:rsidR="00853949" w:rsidRDefault="00853949">
      <w:r>
        <w:separator/>
      </w:r>
    </w:p>
  </w:endnote>
  <w:endnote w:type="continuationSeparator" w:id="0">
    <w:p w14:paraId="4EEC49BF" w14:textId="77777777" w:rsidR="00853949" w:rsidRDefault="0085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7C2A" w14:textId="77777777" w:rsidR="00E647EB" w:rsidRDefault="00E647EB" w:rsidP="005A04B9">
    <w:pPr>
      <w:pStyle w:val="Sidfot"/>
      <w:jc w:val="center"/>
      <w:rPr>
        <w:color w:val="808080"/>
        <w:sz w:val="20"/>
        <w:szCs w:val="20"/>
      </w:rPr>
    </w:pPr>
  </w:p>
  <w:p w14:paraId="044C58BD" w14:textId="77777777" w:rsidR="00E647EB" w:rsidRDefault="00CB2E38" w:rsidP="005A04B9">
    <w:pPr>
      <w:pStyle w:val="Sidfot"/>
      <w:jc w:val="center"/>
      <w:rPr>
        <w:color w:val="808080"/>
        <w:sz w:val="20"/>
        <w:szCs w:val="20"/>
      </w:rPr>
    </w:pPr>
    <w:r>
      <w:rPr>
        <w:noProof/>
        <w:color w:val="808080"/>
        <w:sz w:val="20"/>
        <w:szCs w:val="20"/>
      </w:rPr>
      <mc:AlternateContent>
        <mc:Choice Requires="wpc">
          <w:drawing>
            <wp:inline distT="0" distB="0" distL="0" distR="0" wp14:anchorId="70C93ECB" wp14:editId="737AD540">
              <wp:extent cx="6057900" cy="45720"/>
              <wp:effectExtent l="0" t="9525" r="0" b="1905"/>
              <wp:docPr id="17" name="Arbetsyta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ak koppling 1"/>
                      <wps:cNvCnPr/>
                      <wps:spPr bwMode="auto">
                        <a:xfrm>
                          <a:off x="113926" y="0"/>
                          <a:ext cx="5716122" cy="816"/>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40DEF04C" id="Arbetsyta 17" o:spid="_x0000_s1026" editas="canvas" style="width:477pt;height:3.6pt;mso-position-horizontal-relative:char;mso-position-vertical-relative:line" coordsize="605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57;visibility:visible;mso-wrap-style:square">
                <v:fill o:detectmouseclick="t"/>
                <v:path o:connecttype="none"/>
              </v:shape>
              <v:line id="Rak koppling 1" o:spid="_x0000_s1028" style="position:absolute;visibility:visible;mso-wrap-style:square" from="1139,0" to="58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" strokecolor="gray"/>
              <w10:anchorlock/>
            </v:group>
          </w:pict>
        </mc:Fallback>
      </mc:AlternateContent>
    </w:r>
  </w:p>
  <w:p w14:paraId="7FF4F956" w14:textId="77777777" w:rsidR="00E647EB" w:rsidRDefault="00E647EB" w:rsidP="005A04B9">
    <w:pPr>
      <w:pStyle w:val="Sidfot"/>
      <w:jc w:val="center"/>
      <w:rPr>
        <w:color w:val="808080"/>
        <w:sz w:val="20"/>
        <w:szCs w:val="20"/>
      </w:rPr>
    </w:pPr>
  </w:p>
  <w:p w14:paraId="740E5EA9" w14:textId="77777777" w:rsidR="00E647EB" w:rsidRPr="005A04B9" w:rsidRDefault="00E647EB" w:rsidP="00052B06">
    <w:pPr>
      <w:pStyle w:val="Sidfot"/>
      <w:jc w:val="center"/>
      <w:rPr>
        <w:color w:val="808080"/>
        <w:sz w:val="20"/>
        <w:szCs w:val="20"/>
      </w:rPr>
    </w:pPr>
    <w:r w:rsidRPr="005A04B9">
      <w:rPr>
        <w:color w:val="808080"/>
        <w:sz w:val="20"/>
        <w:szCs w:val="20"/>
      </w:rPr>
      <w:t xml:space="preserve">Box 7315, 103 90 Stockholm, Telefon </w:t>
    </w:r>
    <w:r>
      <w:rPr>
        <w:color w:val="808080"/>
        <w:sz w:val="20"/>
        <w:szCs w:val="20"/>
      </w:rPr>
      <w:t>08-701 78 00, Fax 08-701 78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5B01C" w14:textId="77777777" w:rsidR="00853949" w:rsidRDefault="00853949">
      <w:r>
        <w:separator/>
      </w:r>
    </w:p>
  </w:footnote>
  <w:footnote w:type="continuationSeparator" w:id="0">
    <w:p w14:paraId="5E55E997" w14:textId="77777777" w:rsidR="00853949" w:rsidRDefault="0085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156C" w14:textId="77777777" w:rsidR="00E647EB" w:rsidRDefault="00E647EB">
    <w:pPr>
      <w:pStyle w:val="Sidhuvud"/>
      <w:rPr>
        <w:rStyle w:val="Sidnummer"/>
      </w:rPr>
    </w:pPr>
    <w:r>
      <w:rPr>
        <w:rStyle w:val="Sidnummer"/>
      </w:rPr>
      <w:tab/>
    </w:r>
    <w:r>
      <w:rPr>
        <w:rStyle w:val="Sidnummer"/>
      </w:rPr>
      <w:tab/>
    </w:r>
  </w:p>
  <w:p w14:paraId="73DB7120" w14:textId="77777777" w:rsidR="00E647EB" w:rsidRDefault="00E647EB">
    <w:pPr>
      <w:pStyle w:val="Sidhuvud"/>
      <w:rPr>
        <w:rStyle w:val="Sidnummer"/>
      </w:rPr>
    </w:pPr>
  </w:p>
  <w:p w14:paraId="448FCEDD" w14:textId="77777777" w:rsidR="00E647EB" w:rsidRDefault="00E647EB" w:rsidP="00C2535D">
    <w:pPr>
      <w:pStyle w:val="Sidhuvud"/>
      <w:tabs>
        <w:tab w:val="clear" w:pos="9072"/>
        <w:tab w:val="right" w:pos="9720"/>
      </w:tabs>
    </w:pPr>
    <w:r>
      <w:rPr>
        <w:rStyle w:val="Sidnummer"/>
      </w:rPr>
      <w:tab/>
    </w:r>
    <w:r>
      <w:rPr>
        <w:rStyle w:val="Sidnummer"/>
      </w:rPr>
      <w:tab/>
    </w:r>
    <w:r>
      <w:rPr>
        <w:rStyle w:val="Sidnummer"/>
      </w:rPr>
      <w:fldChar w:fldCharType="begin"/>
    </w:r>
    <w:r>
      <w:rPr>
        <w:rStyle w:val="Sidnummer"/>
      </w:rPr>
      <w:instrText xml:space="preserve"> PAGE </w:instrText>
    </w:r>
    <w:r>
      <w:rPr>
        <w:rStyle w:val="Sidnummer"/>
      </w:rPr>
      <w:fldChar w:fldCharType="separate"/>
    </w:r>
    <w:r w:rsidR="000E7DC5">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F7F3" w14:textId="77777777" w:rsidR="00E647EB" w:rsidRDefault="00E647EB">
    <w:pPr>
      <w:pStyle w:val="Sidhuvud"/>
    </w:pPr>
  </w:p>
  <w:p w14:paraId="54D41FEF" w14:textId="77777777" w:rsidR="00E647EB" w:rsidRDefault="00E647EB" w:rsidP="004E334E">
    <w:pPr>
      <w:pStyle w:val="Sidhuvud"/>
      <w:spacing w:line="240" w:lineRule="atLeast"/>
      <w:jc w:val="both"/>
      <w:outlineLvl w:val="8"/>
      <w:rPr>
        <w:b/>
        <w:smallCaps/>
        <w:color w:val="FFFFFF"/>
        <w:spacing w:val="32"/>
        <w:sz w:val="36"/>
        <w:szCs w:val="36"/>
      </w:rPr>
    </w:pPr>
  </w:p>
  <w:p w14:paraId="68D9FB00" w14:textId="77777777" w:rsidR="00E647EB" w:rsidRPr="00FE2033" w:rsidRDefault="00CB2E38" w:rsidP="00F703A3">
    <w:pPr>
      <w:pStyle w:val="Sidhuvud"/>
      <w:spacing w:line="240" w:lineRule="atLeast"/>
      <w:outlineLvl w:val="8"/>
      <w:rPr>
        <w:b/>
        <w:smallCaps/>
        <w:color w:val="5F5F5F"/>
        <w:sz w:val="28"/>
        <w:szCs w:val="28"/>
      </w:rPr>
    </w:pPr>
    <w:r>
      <w:rPr>
        <w:noProof/>
      </w:rPr>
      <mc:AlternateContent>
        <mc:Choice Requires="wps">
          <w:drawing>
            <wp:anchor distT="0" distB="0" distL="114300" distR="114300" simplePos="0" relativeHeight="251657216" behindDoc="1" locked="0" layoutInCell="1" allowOverlap="1" wp14:anchorId="7BD1BA4E" wp14:editId="37E53FB1">
              <wp:simplePos x="0" y="0"/>
              <wp:positionH relativeFrom="column">
                <wp:posOffset>-76200</wp:posOffset>
              </wp:positionH>
              <wp:positionV relativeFrom="paragraph">
                <wp:posOffset>1270</wp:posOffset>
              </wp:positionV>
              <wp:extent cx="252095" cy="695325"/>
              <wp:effectExtent l="0" t="127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695325"/>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4D76" id="Rectangle 12" o:spid="_x0000_s1026" style="position:absolute;margin-left:-6pt;margin-top:.1pt;width:19.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m3fAIAAPs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" fillcolor="#777" stroked="f"/>
          </w:pict>
        </mc:Fallback>
      </mc:AlternateContent>
    </w:r>
    <w:r w:rsidR="00E647EB" w:rsidRPr="00FE2033">
      <w:rPr>
        <w:b/>
        <w:smallCaps/>
        <w:color w:val="FFFFFF"/>
        <w:spacing w:val="32"/>
        <w:sz w:val="36"/>
        <w:szCs w:val="36"/>
      </w:rPr>
      <w:t> </w:t>
    </w:r>
    <w:r w:rsidR="00E647EB" w:rsidRPr="00FE2033">
      <w:rPr>
        <w:b/>
        <w:smallCaps/>
        <w:color w:val="5F5F5F"/>
        <w:sz w:val="28"/>
        <w:szCs w:val="28"/>
      </w:rPr>
      <w:t>ämnden för</w:t>
    </w:r>
  </w:p>
  <w:p w14:paraId="0D7F0D6A" w14:textId="77777777" w:rsidR="00E647EB" w:rsidRPr="00FE2033" w:rsidRDefault="00E647EB" w:rsidP="00F703A3">
    <w:pPr>
      <w:pStyle w:val="Sidhuvud"/>
      <w:spacing w:line="300" w:lineRule="exact"/>
      <w:outlineLvl w:val="8"/>
      <w:rPr>
        <w:b/>
        <w:smallCaps/>
        <w:color w:val="5F5F5F"/>
        <w:sz w:val="28"/>
        <w:szCs w:val="28"/>
      </w:rPr>
    </w:pPr>
    <w:r w:rsidRPr="00FE2033">
      <w:rPr>
        <w:b/>
        <w:smallCaps/>
        <w:color w:val="FFFFFF"/>
        <w:spacing w:val="32"/>
        <w:sz w:val="36"/>
        <w:szCs w:val="36"/>
      </w:rPr>
      <w:t> </w:t>
    </w:r>
    <w:r w:rsidRPr="00FE2033">
      <w:rPr>
        <w:b/>
        <w:smallCaps/>
        <w:color w:val="5F5F5F"/>
        <w:sz w:val="28"/>
        <w:szCs w:val="28"/>
      </w:rPr>
      <w:t>edömning av</w:t>
    </w:r>
  </w:p>
  <w:p w14:paraId="5E3249E3" w14:textId="77777777" w:rsidR="00E647EB" w:rsidRPr="00FE2033" w:rsidRDefault="00E647EB" w:rsidP="00F703A3">
    <w:pPr>
      <w:pStyle w:val="Sidhuvud"/>
      <w:spacing w:line="300" w:lineRule="exact"/>
      <w:outlineLvl w:val="8"/>
      <w:rPr>
        <w:b/>
        <w:smallCaps/>
        <w:color w:val="808080"/>
        <w:sz w:val="32"/>
        <w:szCs w:val="32"/>
      </w:rPr>
    </w:pPr>
    <w:r w:rsidRPr="00FE2033">
      <w:rPr>
        <w:b/>
        <w:smallCaps/>
        <w:color w:val="FFFFFF"/>
        <w:spacing w:val="32"/>
        <w:sz w:val="36"/>
        <w:szCs w:val="36"/>
      </w:rPr>
      <w:t> </w:t>
    </w:r>
    <w:r w:rsidRPr="00686DE1">
      <w:rPr>
        <w:b/>
        <w:smallCaps/>
        <w:color w:val="5F5F5F"/>
        <w:sz w:val="28"/>
        <w:szCs w:val="28"/>
      </w:rPr>
      <w:t>äkemedelsinformation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94F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CD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42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22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A05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040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70BB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7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48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3C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fillcolor="#777" stroke="f">
      <v:fill color="#777"/>
      <v:stroke on="f"/>
      <o:colormru v:ext="edit" colors="#5f5f5f,#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8D"/>
    <w:rsid w:val="000217AE"/>
    <w:rsid w:val="000247B4"/>
    <w:rsid w:val="000305C8"/>
    <w:rsid w:val="0003217B"/>
    <w:rsid w:val="000346DA"/>
    <w:rsid w:val="00036F36"/>
    <w:rsid w:val="00047D1B"/>
    <w:rsid w:val="00052B06"/>
    <w:rsid w:val="000613E7"/>
    <w:rsid w:val="0008188D"/>
    <w:rsid w:val="000954BE"/>
    <w:rsid w:val="000A04C3"/>
    <w:rsid w:val="000A20AB"/>
    <w:rsid w:val="000B37E8"/>
    <w:rsid w:val="000C1B85"/>
    <w:rsid w:val="000C61F4"/>
    <w:rsid w:val="000C7D06"/>
    <w:rsid w:val="000E7DC5"/>
    <w:rsid w:val="00101626"/>
    <w:rsid w:val="00105239"/>
    <w:rsid w:val="00107189"/>
    <w:rsid w:val="00141A73"/>
    <w:rsid w:val="001534B9"/>
    <w:rsid w:val="0015597C"/>
    <w:rsid w:val="001608CB"/>
    <w:rsid w:val="00172832"/>
    <w:rsid w:val="00197158"/>
    <w:rsid w:val="001A468B"/>
    <w:rsid w:val="001C4611"/>
    <w:rsid w:val="001D2189"/>
    <w:rsid w:val="001D2F24"/>
    <w:rsid w:val="001D7B03"/>
    <w:rsid w:val="001E09AD"/>
    <w:rsid w:val="001F2359"/>
    <w:rsid w:val="001F3099"/>
    <w:rsid w:val="00206BB7"/>
    <w:rsid w:val="0021644E"/>
    <w:rsid w:val="002621CB"/>
    <w:rsid w:val="00280C17"/>
    <w:rsid w:val="0028387B"/>
    <w:rsid w:val="00284446"/>
    <w:rsid w:val="00296CF0"/>
    <w:rsid w:val="002B2497"/>
    <w:rsid w:val="002B42AD"/>
    <w:rsid w:val="002B711A"/>
    <w:rsid w:val="002C01F6"/>
    <w:rsid w:val="002C2F0C"/>
    <w:rsid w:val="002E54B3"/>
    <w:rsid w:val="00307EAE"/>
    <w:rsid w:val="00336E45"/>
    <w:rsid w:val="003424C0"/>
    <w:rsid w:val="0034309E"/>
    <w:rsid w:val="00344948"/>
    <w:rsid w:val="00350609"/>
    <w:rsid w:val="003521BC"/>
    <w:rsid w:val="00366AA3"/>
    <w:rsid w:val="003877DA"/>
    <w:rsid w:val="003C10C1"/>
    <w:rsid w:val="003D0821"/>
    <w:rsid w:val="003E2DE9"/>
    <w:rsid w:val="00413B4F"/>
    <w:rsid w:val="004179B0"/>
    <w:rsid w:val="0042795D"/>
    <w:rsid w:val="0044781D"/>
    <w:rsid w:val="0045065B"/>
    <w:rsid w:val="00492E5C"/>
    <w:rsid w:val="00497523"/>
    <w:rsid w:val="004B3E43"/>
    <w:rsid w:val="004B4B7C"/>
    <w:rsid w:val="004B4C2C"/>
    <w:rsid w:val="004D77B5"/>
    <w:rsid w:val="004E334E"/>
    <w:rsid w:val="004F7F2A"/>
    <w:rsid w:val="00502A24"/>
    <w:rsid w:val="00503E05"/>
    <w:rsid w:val="00516F0A"/>
    <w:rsid w:val="00521624"/>
    <w:rsid w:val="00526D70"/>
    <w:rsid w:val="00536555"/>
    <w:rsid w:val="00537710"/>
    <w:rsid w:val="005536B9"/>
    <w:rsid w:val="0055435C"/>
    <w:rsid w:val="005654F0"/>
    <w:rsid w:val="005866F9"/>
    <w:rsid w:val="00595B99"/>
    <w:rsid w:val="00596BE6"/>
    <w:rsid w:val="005A04B9"/>
    <w:rsid w:val="005A73A0"/>
    <w:rsid w:val="005B1212"/>
    <w:rsid w:val="005C6C23"/>
    <w:rsid w:val="005D33CA"/>
    <w:rsid w:val="005E1C54"/>
    <w:rsid w:val="005F2988"/>
    <w:rsid w:val="005F5001"/>
    <w:rsid w:val="0060167E"/>
    <w:rsid w:val="00613496"/>
    <w:rsid w:val="006134BD"/>
    <w:rsid w:val="006174D8"/>
    <w:rsid w:val="00617714"/>
    <w:rsid w:val="00622198"/>
    <w:rsid w:val="00657FAB"/>
    <w:rsid w:val="006708CC"/>
    <w:rsid w:val="00671479"/>
    <w:rsid w:val="006825FF"/>
    <w:rsid w:val="00686DE1"/>
    <w:rsid w:val="00692495"/>
    <w:rsid w:val="006A4D06"/>
    <w:rsid w:val="006C243D"/>
    <w:rsid w:val="006C7C39"/>
    <w:rsid w:val="006D133C"/>
    <w:rsid w:val="006D33D5"/>
    <w:rsid w:val="006D5EDA"/>
    <w:rsid w:val="006F5BC8"/>
    <w:rsid w:val="007171D0"/>
    <w:rsid w:val="00723308"/>
    <w:rsid w:val="007236C8"/>
    <w:rsid w:val="00734C0F"/>
    <w:rsid w:val="007359C7"/>
    <w:rsid w:val="007405B0"/>
    <w:rsid w:val="007576C9"/>
    <w:rsid w:val="00757AA1"/>
    <w:rsid w:val="00766F6F"/>
    <w:rsid w:val="007A1520"/>
    <w:rsid w:val="007D6561"/>
    <w:rsid w:val="007E0480"/>
    <w:rsid w:val="007E3F31"/>
    <w:rsid w:val="007E7320"/>
    <w:rsid w:val="007F13F4"/>
    <w:rsid w:val="007F6FEE"/>
    <w:rsid w:val="00806B08"/>
    <w:rsid w:val="008376F2"/>
    <w:rsid w:val="00837FB2"/>
    <w:rsid w:val="00853949"/>
    <w:rsid w:val="00865E02"/>
    <w:rsid w:val="00891994"/>
    <w:rsid w:val="008E29D1"/>
    <w:rsid w:val="00900D75"/>
    <w:rsid w:val="00926141"/>
    <w:rsid w:val="00927AC7"/>
    <w:rsid w:val="00934A7D"/>
    <w:rsid w:val="0094217A"/>
    <w:rsid w:val="0095040F"/>
    <w:rsid w:val="00950DD4"/>
    <w:rsid w:val="00957529"/>
    <w:rsid w:val="0096048A"/>
    <w:rsid w:val="00967ECC"/>
    <w:rsid w:val="00972005"/>
    <w:rsid w:val="00972E74"/>
    <w:rsid w:val="009753BE"/>
    <w:rsid w:val="009957B9"/>
    <w:rsid w:val="009A540D"/>
    <w:rsid w:val="009A61E2"/>
    <w:rsid w:val="009C1760"/>
    <w:rsid w:val="009D0572"/>
    <w:rsid w:val="009D2F96"/>
    <w:rsid w:val="009E4362"/>
    <w:rsid w:val="009E5BEA"/>
    <w:rsid w:val="009E7BCA"/>
    <w:rsid w:val="00A01899"/>
    <w:rsid w:val="00A0466D"/>
    <w:rsid w:val="00A07E92"/>
    <w:rsid w:val="00A13CC0"/>
    <w:rsid w:val="00A33FFD"/>
    <w:rsid w:val="00A35CBC"/>
    <w:rsid w:val="00A433CE"/>
    <w:rsid w:val="00A44826"/>
    <w:rsid w:val="00A466D2"/>
    <w:rsid w:val="00A57855"/>
    <w:rsid w:val="00A60D3C"/>
    <w:rsid w:val="00A60D7D"/>
    <w:rsid w:val="00A63C65"/>
    <w:rsid w:val="00A63CF8"/>
    <w:rsid w:val="00A816E5"/>
    <w:rsid w:val="00A85BFF"/>
    <w:rsid w:val="00A93AB9"/>
    <w:rsid w:val="00A96139"/>
    <w:rsid w:val="00A961EE"/>
    <w:rsid w:val="00AB2127"/>
    <w:rsid w:val="00AC5445"/>
    <w:rsid w:val="00AD1CDC"/>
    <w:rsid w:val="00AD325E"/>
    <w:rsid w:val="00AD6415"/>
    <w:rsid w:val="00AE146C"/>
    <w:rsid w:val="00AE3734"/>
    <w:rsid w:val="00AF33CF"/>
    <w:rsid w:val="00AF53E8"/>
    <w:rsid w:val="00B06F0C"/>
    <w:rsid w:val="00B075D5"/>
    <w:rsid w:val="00B079D8"/>
    <w:rsid w:val="00B142B7"/>
    <w:rsid w:val="00B24E8D"/>
    <w:rsid w:val="00B25EFF"/>
    <w:rsid w:val="00B302D8"/>
    <w:rsid w:val="00B40C9F"/>
    <w:rsid w:val="00B54F17"/>
    <w:rsid w:val="00B60291"/>
    <w:rsid w:val="00B70029"/>
    <w:rsid w:val="00B922F4"/>
    <w:rsid w:val="00BA1FCC"/>
    <w:rsid w:val="00BA649B"/>
    <w:rsid w:val="00BA663B"/>
    <w:rsid w:val="00BC2BD9"/>
    <w:rsid w:val="00BC75B1"/>
    <w:rsid w:val="00BD12E0"/>
    <w:rsid w:val="00BD4494"/>
    <w:rsid w:val="00BE1C54"/>
    <w:rsid w:val="00BE522C"/>
    <w:rsid w:val="00BF1361"/>
    <w:rsid w:val="00C0014A"/>
    <w:rsid w:val="00C01CAE"/>
    <w:rsid w:val="00C04AC1"/>
    <w:rsid w:val="00C0619B"/>
    <w:rsid w:val="00C16DED"/>
    <w:rsid w:val="00C17894"/>
    <w:rsid w:val="00C20FCD"/>
    <w:rsid w:val="00C2535D"/>
    <w:rsid w:val="00C31DC9"/>
    <w:rsid w:val="00C40AC1"/>
    <w:rsid w:val="00C82DAD"/>
    <w:rsid w:val="00CA3D2E"/>
    <w:rsid w:val="00CB2E38"/>
    <w:rsid w:val="00CC697F"/>
    <w:rsid w:val="00D16B67"/>
    <w:rsid w:val="00D37110"/>
    <w:rsid w:val="00D423D6"/>
    <w:rsid w:val="00D473C9"/>
    <w:rsid w:val="00D5157A"/>
    <w:rsid w:val="00D67FDF"/>
    <w:rsid w:val="00D73C1C"/>
    <w:rsid w:val="00D74B5D"/>
    <w:rsid w:val="00D82080"/>
    <w:rsid w:val="00D97A5C"/>
    <w:rsid w:val="00DA2C91"/>
    <w:rsid w:val="00DA6CF4"/>
    <w:rsid w:val="00DC6BBE"/>
    <w:rsid w:val="00DD307F"/>
    <w:rsid w:val="00DD662B"/>
    <w:rsid w:val="00DE0E7A"/>
    <w:rsid w:val="00DE3449"/>
    <w:rsid w:val="00DF1F1F"/>
    <w:rsid w:val="00DF75A6"/>
    <w:rsid w:val="00E17315"/>
    <w:rsid w:val="00E46BB8"/>
    <w:rsid w:val="00E5071E"/>
    <w:rsid w:val="00E5544C"/>
    <w:rsid w:val="00E57C10"/>
    <w:rsid w:val="00E647EB"/>
    <w:rsid w:val="00E76BAF"/>
    <w:rsid w:val="00E773E1"/>
    <w:rsid w:val="00E907BF"/>
    <w:rsid w:val="00EB477F"/>
    <w:rsid w:val="00EB557E"/>
    <w:rsid w:val="00ED07A2"/>
    <w:rsid w:val="00ED328A"/>
    <w:rsid w:val="00ED3BFE"/>
    <w:rsid w:val="00ED65EC"/>
    <w:rsid w:val="00EE1A1E"/>
    <w:rsid w:val="00EF6725"/>
    <w:rsid w:val="00F0140B"/>
    <w:rsid w:val="00F03D89"/>
    <w:rsid w:val="00F1012B"/>
    <w:rsid w:val="00F1531C"/>
    <w:rsid w:val="00F160F7"/>
    <w:rsid w:val="00F231C6"/>
    <w:rsid w:val="00F27A30"/>
    <w:rsid w:val="00F3150B"/>
    <w:rsid w:val="00F37512"/>
    <w:rsid w:val="00F425EF"/>
    <w:rsid w:val="00F44150"/>
    <w:rsid w:val="00F57510"/>
    <w:rsid w:val="00F62C26"/>
    <w:rsid w:val="00F6739F"/>
    <w:rsid w:val="00F703A3"/>
    <w:rsid w:val="00F82018"/>
    <w:rsid w:val="00F903A7"/>
    <w:rsid w:val="00F93057"/>
    <w:rsid w:val="00FB6399"/>
    <w:rsid w:val="00FC1825"/>
    <w:rsid w:val="00FC1BA4"/>
    <w:rsid w:val="00FE2033"/>
    <w:rsid w:val="00FE315D"/>
    <w:rsid w:val="00FE446E"/>
    <w:rsid w:val="00FE4917"/>
    <w:rsid w:val="00FF4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777" stroke="f">
      <v:fill color="#777"/>
      <v:stroke on="f"/>
      <o:colormru v:ext="edit" colors="#5f5f5f,#777"/>
    </o:shapedefaults>
    <o:shapelayout v:ext="edit">
      <o:idmap v:ext="edit" data="1"/>
    </o:shapelayout>
  </w:shapeDefaults>
  <w:decimalSymbol w:val=","/>
  <w:listSeparator w:val=";"/>
  <w14:docId w14:val="2422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2535D"/>
    <w:pPr>
      <w:tabs>
        <w:tab w:val="center" w:pos="4536"/>
        <w:tab w:val="right" w:pos="9072"/>
      </w:tabs>
    </w:pPr>
  </w:style>
  <w:style w:type="paragraph" w:styleId="Sidfot">
    <w:name w:val="footer"/>
    <w:basedOn w:val="Normal"/>
    <w:rsid w:val="00C2535D"/>
    <w:pPr>
      <w:tabs>
        <w:tab w:val="center" w:pos="4536"/>
        <w:tab w:val="right" w:pos="9072"/>
      </w:tabs>
    </w:pPr>
  </w:style>
  <w:style w:type="character" w:styleId="Sidnummer">
    <w:name w:val="page number"/>
    <w:basedOn w:val="Standardstycketeckensnitt"/>
    <w:rsid w:val="00C2535D"/>
  </w:style>
  <w:style w:type="paragraph" w:styleId="Ballongtext">
    <w:name w:val="Balloon Text"/>
    <w:basedOn w:val="Normal"/>
    <w:semiHidden/>
    <w:rsid w:val="0094217A"/>
    <w:rPr>
      <w:rFonts w:ascii="Tahoma" w:hAnsi="Tahoma" w:cs="Tahoma"/>
      <w:sz w:val="16"/>
      <w:szCs w:val="16"/>
    </w:rPr>
  </w:style>
  <w:style w:type="paragraph" w:customStyle="1" w:styleId="Instll">
    <w:name w:val="Inställ"/>
    <w:rsid w:val="00E5071E"/>
    <w:pPr>
      <w:widowControl w:val="0"/>
      <w:tabs>
        <w:tab w:val="left" w:pos="-720"/>
      </w:tabs>
      <w:suppressAutoHyphens/>
      <w:jc w:val="both"/>
    </w:pPr>
    <w:rPr>
      <w:rFonts w:ascii="Courier New" w:hAnsi="Courier New"/>
      <w:spacing w:val="-3"/>
      <w:sz w:val="24"/>
      <w:lang w:val="en-US" w:eastAsia="ja-JP"/>
    </w:rPr>
  </w:style>
  <w:style w:type="paragraph" w:styleId="HTML-frformaterad">
    <w:name w:val="HTML Preformatted"/>
    <w:basedOn w:val="Normal"/>
    <w:link w:val="HTML-frformateradChar"/>
    <w:uiPriority w:val="99"/>
    <w:unhideWhenUsed/>
    <w:rsid w:val="00D3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D37110"/>
    <w:rPr>
      <w:rFonts w:ascii="Courier New" w:hAnsi="Courier New" w:cs="Courier New"/>
    </w:rPr>
  </w:style>
  <w:style w:type="character" w:styleId="Kommentarsreferens">
    <w:name w:val="annotation reference"/>
    <w:basedOn w:val="Standardstycketeckensnitt"/>
    <w:semiHidden/>
    <w:unhideWhenUsed/>
    <w:rsid w:val="00C0014A"/>
    <w:rPr>
      <w:sz w:val="16"/>
      <w:szCs w:val="16"/>
    </w:rPr>
  </w:style>
  <w:style w:type="paragraph" w:styleId="Kommentarer">
    <w:name w:val="annotation text"/>
    <w:basedOn w:val="Normal"/>
    <w:link w:val="KommentarerChar"/>
    <w:semiHidden/>
    <w:unhideWhenUsed/>
    <w:rsid w:val="00C0014A"/>
    <w:rPr>
      <w:sz w:val="20"/>
      <w:szCs w:val="20"/>
    </w:rPr>
  </w:style>
  <w:style w:type="character" w:customStyle="1" w:styleId="KommentarerChar">
    <w:name w:val="Kommentarer Char"/>
    <w:basedOn w:val="Standardstycketeckensnitt"/>
    <w:link w:val="Kommentarer"/>
    <w:semiHidden/>
    <w:rsid w:val="00C0014A"/>
  </w:style>
  <w:style w:type="paragraph" w:styleId="Kommentarsmne">
    <w:name w:val="annotation subject"/>
    <w:basedOn w:val="Kommentarer"/>
    <w:next w:val="Kommentarer"/>
    <w:link w:val="KommentarsmneChar"/>
    <w:semiHidden/>
    <w:unhideWhenUsed/>
    <w:rsid w:val="00C0014A"/>
    <w:rPr>
      <w:b/>
      <w:bCs/>
    </w:rPr>
  </w:style>
  <w:style w:type="character" w:customStyle="1" w:styleId="KommentarsmneChar">
    <w:name w:val="Kommentarsämne Char"/>
    <w:basedOn w:val="KommentarerChar"/>
    <w:link w:val="Kommentarsmne"/>
    <w:semiHidden/>
    <w:rsid w:val="00C0014A"/>
    <w:rPr>
      <w:b/>
      <w:bCs/>
    </w:rPr>
  </w:style>
  <w:style w:type="paragraph" w:styleId="Revision">
    <w:name w:val="Revision"/>
    <w:hidden/>
    <w:uiPriority w:val="99"/>
    <w:semiHidden/>
    <w:rsid w:val="00C00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0374">
      <w:bodyDiv w:val="1"/>
      <w:marLeft w:val="0"/>
      <w:marRight w:val="0"/>
      <w:marTop w:val="0"/>
      <w:marBottom w:val="0"/>
      <w:divBdr>
        <w:top w:val="none" w:sz="0" w:space="0" w:color="auto"/>
        <w:left w:val="none" w:sz="0" w:space="0" w:color="auto"/>
        <w:bottom w:val="none" w:sz="0" w:space="0" w:color="auto"/>
        <w:right w:val="none" w:sz="0" w:space="0" w:color="auto"/>
      </w:divBdr>
    </w:div>
    <w:div w:id="577907113">
      <w:bodyDiv w:val="1"/>
      <w:marLeft w:val="0"/>
      <w:marRight w:val="0"/>
      <w:marTop w:val="0"/>
      <w:marBottom w:val="0"/>
      <w:divBdr>
        <w:top w:val="none" w:sz="0" w:space="0" w:color="auto"/>
        <w:left w:val="none" w:sz="0" w:space="0" w:color="auto"/>
        <w:bottom w:val="none" w:sz="0" w:space="0" w:color="auto"/>
        <w:right w:val="none" w:sz="0" w:space="0" w:color="auto"/>
      </w:divBdr>
    </w:div>
    <w:div w:id="19497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31E57426BF46458CF0BF3659B5208E" ma:contentTypeVersion="8" ma:contentTypeDescription="Skapa ett nytt dokument." ma:contentTypeScope="" ma:versionID="a50e4d845f90e54349aadf90d61d1287">
  <xsd:schema xmlns:xsd="http://www.w3.org/2001/XMLSchema" xmlns:xs="http://www.w3.org/2001/XMLSchema" xmlns:p="http://schemas.microsoft.com/office/2006/metadata/properties" xmlns:ns2="3311ebbd-8ed0-4577-9f8b-2dd55277db03" xmlns:ns3="c6f485e8-22e1-418c-8ffd-a873f6d188d1" targetNamespace="http://schemas.microsoft.com/office/2006/metadata/properties" ma:root="true" ma:fieldsID="40711dd9419d213d1668b2681574f07e" ns2:_="" ns3:_="">
    <xsd:import namespace="3311ebbd-8ed0-4577-9f8b-2dd55277db03"/>
    <xsd:import namespace="c6f485e8-22e1-418c-8ffd-a873f6d18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ebbd-8ed0-4577-9f8b-2dd55277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485e8-22e1-418c-8ffd-a873f6d188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A4E9-4332-4089-89EF-3F55E92C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ebbd-8ed0-4577-9f8b-2dd55277db03"/>
    <ds:schemaRef ds:uri="c6f485e8-22e1-418c-8ffd-a873f6d18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58975-AEF3-4923-B212-F87BE4017641}">
  <ds:schemaRefs>
    <ds:schemaRef ds:uri="http://schemas.microsoft.com/sharepoint/v3/contenttype/forms"/>
  </ds:schemaRefs>
</ds:datastoreItem>
</file>

<file path=customXml/itemProps3.xml><?xml version="1.0" encoding="utf-8"?>
<ds:datastoreItem xmlns:ds="http://schemas.openxmlformats.org/officeDocument/2006/customXml" ds:itemID="{B9788E61-B9EF-4B01-B5F7-308AF5062587}">
  <ds:schemaRefs>
    <ds:schemaRef ds:uri="http://purl.org/dc/terms/"/>
    <ds:schemaRef ds:uri="3311ebbd-8ed0-4577-9f8b-2dd55277db03"/>
    <ds:schemaRef ds:uri="http://schemas.microsoft.com/office/2006/documentManagement/types"/>
    <ds:schemaRef ds:uri="c6f485e8-22e1-418c-8ffd-a873f6d188d1"/>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F439B77-147F-4BE3-8736-4CB014DC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9054</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2019-01-11T09:40:00Z</dcterms:created>
  <dcterms:modified xsi:type="dcterms:W3CDTF">2019-01-11T09:40:00Z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0x0101009731E57426BF46458CF0BF3659B5208E</vt:lpwstr>
  </property>
</Properties>
</file>